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94D" w:rsidRDefault="00050885" w:rsidP="004213BC">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thireos" style="width:136.5pt;height:79.5pt;visibility:visible" filled="t" fillcolor="black">
            <v:fill opacity="46517f"/>
            <v:imagedata r:id="rId9" o:title="thireos" blacklevel="3277f"/>
          </v:shape>
        </w:pict>
      </w:r>
    </w:p>
    <w:p w:rsidR="003B594D" w:rsidRDefault="003B594D" w:rsidP="003B594D"/>
    <w:p w:rsidR="003B594D" w:rsidRDefault="003B594D" w:rsidP="003B594D"/>
    <w:p w:rsidR="003B594D" w:rsidRDefault="003B594D" w:rsidP="003B594D"/>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3B594D" w:rsidRPr="00343904" w:rsidTr="003B594D">
        <w:trPr>
          <w:trHeight w:val="11282"/>
        </w:trPr>
        <w:tc>
          <w:tcPr>
            <w:tcW w:w="10632" w:type="dxa"/>
            <w:tcBorders>
              <w:top w:val="nil"/>
              <w:left w:val="nil"/>
              <w:bottom w:val="nil"/>
              <w:right w:val="nil"/>
              <w:tl2br w:val="nil"/>
              <w:tr2bl w:val="nil"/>
            </w:tcBorders>
          </w:tcPr>
          <w:p w:rsidR="003B594D" w:rsidRPr="007D5EBD" w:rsidRDefault="003B594D" w:rsidP="003B594D">
            <w:pPr>
              <w:pStyle w:val="NoSpacing"/>
              <w:jc w:val="center"/>
              <w:rPr>
                <w:b/>
                <w:bCs/>
                <w:color w:val="4D4D4D"/>
                <w:sz w:val="72"/>
                <w:szCs w:val="76"/>
              </w:rPr>
            </w:pPr>
            <w:r w:rsidRPr="007D5EBD">
              <w:rPr>
                <w:b/>
                <w:bCs/>
                <w:color w:val="4D4D4D"/>
                <w:sz w:val="72"/>
                <w:szCs w:val="76"/>
              </w:rPr>
              <w:t>ΠΡΟΣΧΕΔΙΟ</w:t>
            </w:r>
          </w:p>
          <w:p w:rsidR="003B594D" w:rsidRPr="007D5EBD" w:rsidRDefault="003B594D" w:rsidP="003B594D">
            <w:pPr>
              <w:pStyle w:val="NoSpacing"/>
              <w:jc w:val="center"/>
              <w:rPr>
                <w:b/>
                <w:bCs/>
                <w:color w:val="4D4D4D"/>
                <w:sz w:val="76"/>
                <w:szCs w:val="76"/>
              </w:rPr>
            </w:pPr>
            <w:r w:rsidRPr="007D5EBD">
              <w:rPr>
                <w:b/>
                <w:bCs/>
                <w:color w:val="4D4D4D"/>
                <w:sz w:val="72"/>
                <w:szCs w:val="76"/>
              </w:rPr>
              <w:t>ΚΡΑΤΙΚΟΥ ΠΡΟΫΠΟΛΟΓΙΣΜΟΥ</w:t>
            </w:r>
          </w:p>
          <w:p w:rsidR="003B594D" w:rsidRPr="007D5EBD" w:rsidRDefault="003B594D" w:rsidP="003B594D">
            <w:pPr>
              <w:pStyle w:val="NoSpacing"/>
              <w:jc w:val="center"/>
              <w:rPr>
                <w:b/>
                <w:bCs/>
                <w:color w:val="4D4D4D"/>
                <w:sz w:val="90"/>
                <w:szCs w:val="72"/>
              </w:rPr>
            </w:pPr>
            <w:r w:rsidRPr="007D5EBD">
              <w:rPr>
                <w:b/>
                <w:bCs/>
                <w:color w:val="4D4D4D"/>
                <w:sz w:val="104"/>
                <w:szCs w:val="72"/>
              </w:rPr>
              <w:t>20</w:t>
            </w:r>
            <w:r w:rsidR="00E643AA" w:rsidRPr="007D5EBD">
              <w:rPr>
                <w:b/>
                <w:bCs/>
                <w:color w:val="4D4D4D"/>
                <w:sz w:val="104"/>
                <w:szCs w:val="72"/>
              </w:rPr>
              <w:t>21</w:t>
            </w:r>
          </w:p>
          <w:p w:rsidR="003B594D" w:rsidRPr="007D5EBD" w:rsidRDefault="003B594D" w:rsidP="003B594D">
            <w:pPr>
              <w:pStyle w:val="NoSpacing"/>
              <w:jc w:val="center"/>
              <w:rPr>
                <w:b/>
                <w:bCs/>
                <w:caps/>
                <w:color w:val="4D4D4D"/>
                <w:sz w:val="92"/>
                <w:szCs w:val="72"/>
              </w:rPr>
            </w:pPr>
          </w:p>
          <w:p w:rsidR="003B594D" w:rsidRPr="007D5EBD" w:rsidRDefault="003B594D" w:rsidP="003B594D">
            <w:pPr>
              <w:pStyle w:val="NoSpacing"/>
              <w:jc w:val="center"/>
              <w:rPr>
                <w:b/>
                <w:bCs/>
                <w:caps/>
                <w:color w:val="4D4D4D"/>
                <w:sz w:val="32"/>
                <w:szCs w:val="72"/>
              </w:rPr>
            </w:pPr>
          </w:p>
          <w:p w:rsidR="003B594D" w:rsidRPr="007D5EBD" w:rsidRDefault="003B594D" w:rsidP="003B594D">
            <w:pPr>
              <w:pStyle w:val="NoSpacing"/>
              <w:jc w:val="center"/>
              <w:rPr>
                <w:b/>
                <w:bCs/>
                <w:caps/>
                <w:color w:val="4D4D4D"/>
                <w:sz w:val="32"/>
                <w:szCs w:val="72"/>
              </w:rPr>
            </w:pPr>
          </w:p>
          <w:p w:rsidR="003B594D" w:rsidRPr="007D5EBD" w:rsidRDefault="003B594D" w:rsidP="003B594D">
            <w:pPr>
              <w:pStyle w:val="NoSpacing"/>
              <w:jc w:val="center"/>
              <w:rPr>
                <w:b/>
                <w:bCs/>
                <w:caps/>
                <w:color w:val="4D4D4D"/>
                <w:sz w:val="32"/>
                <w:szCs w:val="72"/>
              </w:rPr>
            </w:pPr>
            <w:r w:rsidRPr="007D5EBD">
              <w:rPr>
                <w:b/>
                <w:bCs/>
                <w:caps/>
                <w:color w:val="4D4D4D"/>
                <w:sz w:val="32"/>
                <w:szCs w:val="72"/>
              </w:rPr>
              <w:t>κατατέθηκε στη</w:t>
            </w:r>
          </w:p>
          <w:p w:rsidR="003B594D" w:rsidRPr="007D5EBD" w:rsidRDefault="003B594D" w:rsidP="003B594D">
            <w:pPr>
              <w:pStyle w:val="NoSpacing"/>
              <w:jc w:val="center"/>
              <w:rPr>
                <w:b/>
                <w:bCs/>
                <w:caps/>
                <w:color w:val="4D4D4D"/>
                <w:sz w:val="32"/>
                <w:szCs w:val="72"/>
              </w:rPr>
            </w:pPr>
            <w:r w:rsidRPr="007D5EBD">
              <w:rPr>
                <w:b/>
                <w:bCs/>
                <w:caps/>
                <w:color w:val="4D4D4D"/>
                <w:sz w:val="32"/>
                <w:szCs w:val="72"/>
              </w:rPr>
              <w:t>ΔΙΑΡΚΗ ΕΠΙΤΡΟΠΗ ΟΙΚΟΝΟΜΙΚΩΝ ΥΠΟΘΕΣΕΩΝ</w:t>
            </w:r>
          </w:p>
          <w:p w:rsidR="003B594D" w:rsidRPr="007D5EBD" w:rsidRDefault="003B594D" w:rsidP="003B594D">
            <w:pPr>
              <w:pStyle w:val="NoSpacing"/>
              <w:jc w:val="center"/>
              <w:rPr>
                <w:b/>
                <w:bCs/>
                <w:caps/>
                <w:color w:val="4D4D4D"/>
                <w:sz w:val="32"/>
                <w:szCs w:val="72"/>
              </w:rPr>
            </w:pPr>
            <w:r w:rsidRPr="007D5EBD">
              <w:rPr>
                <w:b/>
                <w:bCs/>
                <w:caps/>
                <w:color w:val="4D4D4D"/>
                <w:sz w:val="32"/>
                <w:szCs w:val="72"/>
              </w:rPr>
              <w:t xml:space="preserve"> της ΒουληΣ </w:t>
            </w:r>
            <w:r w:rsidRPr="007D5EBD">
              <w:rPr>
                <w:b/>
                <w:bCs/>
                <w:caps/>
                <w:color w:val="4D4D4D"/>
                <w:sz w:val="32"/>
                <w:szCs w:val="72"/>
                <w:lang w:val="en-US"/>
              </w:rPr>
              <w:t>T</w:t>
            </w:r>
            <w:r w:rsidRPr="007D5EBD">
              <w:rPr>
                <w:b/>
                <w:bCs/>
                <w:caps/>
                <w:color w:val="4D4D4D"/>
                <w:sz w:val="32"/>
                <w:szCs w:val="72"/>
              </w:rPr>
              <w:t>ΩΝ ΕΛΛΗΝΩΝ</w:t>
            </w:r>
          </w:p>
          <w:p w:rsidR="003B594D" w:rsidRPr="007D5EBD" w:rsidRDefault="003B594D" w:rsidP="003B594D">
            <w:pPr>
              <w:pStyle w:val="NoSpacing"/>
              <w:jc w:val="center"/>
              <w:rPr>
                <w:b/>
                <w:bCs/>
                <w:caps/>
                <w:color w:val="4D4D4D"/>
                <w:sz w:val="32"/>
                <w:szCs w:val="72"/>
              </w:rPr>
            </w:pPr>
          </w:p>
          <w:p w:rsidR="003B594D" w:rsidRPr="007D5EBD" w:rsidRDefault="003B594D" w:rsidP="003B594D">
            <w:pPr>
              <w:pStyle w:val="NoSpacing"/>
              <w:jc w:val="center"/>
              <w:rPr>
                <w:b/>
                <w:bCs/>
                <w:caps/>
                <w:color w:val="4D4D4D"/>
                <w:sz w:val="32"/>
                <w:szCs w:val="72"/>
              </w:rPr>
            </w:pPr>
          </w:p>
          <w:p w:rsidR="003B594D" w:rsidRPr="007D5EBD" w:rsidRDefault="003B594D" w:rsidP="003B594D">
            <w:pPr>
              <w:pStyle w:val="NoSpacing"/>
              <w:jc w:val="center"/>
              <w:rPr>
                <w:b/>
                <w:bCs/>
                <w:caps/>
                <w:color w:val="4D4D4D"/>
                <w:sz w:val="32"/>
                <w:szCs w:val="72"/>
              </w:rPr>
            </w:pPr>
            <w:r w:rsidRPr="007D5EBD">
              <w:rPr>
                <w:b/>
                <w:bCs/>
                <w:caps/>
                <w:color w:val="4D4D4D"/>
                <w:sz w:val="32"/>
                <w:szCs w:val="72"/>
              </w:rPr>
              <w:t>από τοΝ</w:t>
            </w:r>
          </w:p>
          <w:p w:rsidR="003B594D" w:rsidRPr="007D5EBD" w:rsidRDefault="00264C17" w:rsidP="003B594D">
            <w:pPr>
              <w:pStyle w:val="NoSpacing"/>
              <w:jc w:val="center"/>
              <w:rPr>
                <w:b/>
                <w:bCs/>
                <w:caps/>
                <w:color w:val="4D4D4D"/>
                <w:sz w:val="32"/>
                <w:szCs w:val="72"/>
              </w:rPr>
            </w:pPr>
            <w:r w:rsidRPr="007D5EBD">
              <w:rPr>
                <w:b/>
                <w:bCs/>
                <w:caps/>
                <w:color w:val="4D4D4D"/>
                <w:sz w:val="32"/>
                <w:szCs w:val="72"/>
              </w:rPr>
              <w:t>χρηστο σταΪκουρα</w:t>
            </w:r>
          </w:p>
          <w:p w:rsidR="003B594D" w:rsidRPr="007D5EBD" w:rsidRDefault="003B594D" w:rsidP="003B594D">
            <w:pPr>
              <w:pStyle w:val="NoSpacing"/>
              <w:jc w:val="center"/>
              <w:rPr>
                <w:b/>
                <w:bCs/>
                <w:caps/>
                <w:color w:val="4D4D4D"/>
                <w:sz w:val="32"/>
                <w:szCs w:val="72"/>
              </w:rPr>
            </w:pPr>
            <w:r w:rsidRPr="007D5EBD">
              <w:rPr>
                <w:b/>
                <w:bCs/>
                <w:caps/>
                <w:color w:val="4D4D4D"/>
                <w:sz w:val="32"/>
                <w:szCs w:val="72"/>
              </w:rPr>
              <w:t>υπουργο οικονομικων</w:t>
            </w:r>
          </w:p>
          <w:p w:rsidR="003B594D" w:rsidRPr="007D5EBD" w:rsidRDefault="003B594D" w:rsidP="003B594D">
            <w:pPr>
              <w:pStyle w:val="NoSpacing"/>
              <w:jc w:val="center"/>
              <w:rPr>
                <w:b/>
                <w:bCs/>
                <w:caps/>
                <w:color w:val="4D4D4D"/>
                <w:sz w:val="38"/>
                <w:szCs w:val="72"/>
              </w:rPr>
            </w:pPr>
          </w:p>
          <w:p w:rsidR="003B594D" w:rsidRPr="007D5EBD" w:rsidRDefault="003B594D" w:rsidP="003B594D">
            <w:pPr>
              <w:pStyle w:val="NoSpacing"/>
              <w:jc w:val="center"/>
              <w:rPr>
                <w:b/>
                <w:bCs/>
                <w:caps/>
                <w:color w:val="4D4D4D"/>
                <w:sz w:val="38"/>
                <w:szCs w:val="72"/>
              </w:rPr>
            </w:pPr>
          </w:p>
          <w:p w:rsidR="003B594D" w:rsidRPr="007D5EBD" w:rsidRDefault="003B594D" w:rsidP="003B594D">
            <w:pPr>
              <w:pStyle w:val="NoSpacing"/>
              <w:jc w:val="center"/>
              <w:rPr>
                <w:b/>
                <w:bCs/>
                <w:caps/>
                <w:color w:val="4D4D4D"/>
                <w:sz w:val="28"/>
                <w:szCs w:val="72"/>
              </w:rPr>
            </w:pPr>
          </w:p>
          <w:p w:rsidR="003B594D" w:rsidRPr="007D5EBD" w:rsidRDefault="003B594D" w:rsidP="003B594D">
            <w:pPr>
              <w:pStyle w:val="NoSpacing"/>
              <w:jc w:val="center"/>
              <w:rPr>
                <w:b/>
                <w:bCs/>
                <w:caps/>
                <w:color w:val="4D4D4D"/>
                <w:sz w:val="28"/>
                <w:szCs w:val="72"/>
              </w:rPr>
            </w:pPr>
          </w:p>
          <w:p w:rsidR="003B594D" w:rsidRPr="007D5EBD" w:rsidRDefault="003B594D" w:rsidP="003B594D">
            <w:pPr>
              <w:pStyle w:val="NoSpacing"/>
              <w:jc w:val="center"/>
              <w:rPr>
                <w:b/>
                <w:bCs/>
                <w:caps/>
                <w:color w:val="4D4D4D"/>
                <w:sz w:val="28"/>
                <w:szCs w:val="72"/>
              </w:rPr>
            </w:pPr>
          </w:p>
          <w:p w:rsidR="003B594D" w:rsidRPr="007D5EBD" w:rsidRDefault="003B594D" w:rsidP="003B594D">
            <w:pPr>
              <w:pStyle w:val="NoSpacing"/>
              <w:jc w:val="center"/>
              <w:rPr>
                <w:b/>
                <w:bCs/>
                <w:caps/>
                <w:color w:val="4D4D4D"/>
                <w:sz w:val="28"/>
                <w:szCs w:val="72"/>
              </w:rPr>
            </w:pPr>
          </w:p>
          <w:p w:rsidR="003B594D" w:rsidRPr="007D5EBD" w:rsidRDefault="003B594D" w:rsidP="003B594D">
            <w:pPr>
              <w:pStyle w:val="NoSpacing"/>
              <w:jc w:val="center"/>
              <w:rPr>
                <w:b/>
                <w:bCs/>
                <w:caps/>
                <w:color w:val="4D4D4D"/>
                <w:sz w:val="28"/>
                <w:szCs w:val="72"/>
              </w:rPr>
            </w:pPr>
          </w:p>
          <w:p w:rsidR="003B594D" w:rsidRPr="007D5EBD" w:rsidRDefault="003B594D" w:rsidP="003B594D">
            <w:pPr>
              <w:pStyle w:val="NoSpacing"/>
              <w:jc w:val="center"/>
              <w:rPr>
                <w:b/>
                <w:bCs/>
                <w:caps/>
                <w:color w:val="4D4D4D"/>
                <w:sz w:val="28"/>
                <w:szCs w:val="72"/>
              </w:rPr>
            </w:pPr>
          </w:p>
          <w:p w:rsidR="003B594D" w:rsidRPr="007D5EBD" w:rsidRDefault="003B594D" w:rsidP="003B594D">
            <w:pPr>
              <w:pStyle w:val="NoSpacing"/>
              <w:jc w:val="center"/>
            </w:pPr>
            <w:r w:rsidRPr="007D5EBD">
              <w:rPr>
                <w:b/>
                <w:bCs/>
                <w:caps/>
                <w:color w:val="4D4D4D"/>
                <w:sz w:val="28"/>
                <w:szCs w:val="72"/>
              </w:rPr>
              <w:t>αθηνα, οκτωβριοσ 20</w:t>
            </w:r>
            <w:r w:rsidR="00E643AA" w:rsidRPr="007D5EBD">
              <w:rPr>
                <w:b/>
                <w:bCs/>
                <w:caps/>
                <w:color w:val="4D4D4D"/>
                <w:sz w:val="28"/>
                <w:szCs w:val="72"/>
              </w:rPr>
              <w:t>20</w:t>
            </w:r>
          </w:p>
        </w:tc>
      </w:tr>
    </w:tbl>
    <w:p w:rsidR="003B594D" w:rsidRDefault="003B594D" w:rsidP="003B594D"/>
    <w:p w:rsidR="003C2D04" w:rsidRDefault="003C2D04" w:rsidP="003B594D"/>
    <w:p w:rsidR="003C2D04" w:rsidRDefault="003C2D04" w:rsidP="003B594D"/>
    <w:p w:rsidR="003C2D04" w:rsidRPr="004213BC" w:rsidRDefault="003C2D04" w:rsidP="003B594D"/>
    <w:p w:rsidR="003B594D" w:rsidRPr="004213BC" w:rsidRDefault="003B594D"/>
    <w:p w:rsidR="003B594D" w:rsidRPr="004213BC" w:rsidRDefault="003B594D"/>
    <w:p w:rsidR="00953FD4" w:rsidRDefault="00953FD4">
      <w:pPr>
        <w:rPr>
          <w:b/>
        </w:rPr>
      </w:pPr>
      <w:r>
        <w:rPr>
          <w:b/>
        </w:rPr>
        <w:br w:type="page"/>
      </w:r>
    </w:p>
    <w:p w:rsidR="00FF174C" w:rsidRPr="00844F9A" w:rsidRDefault="00FF174C" w:rsidP="000E7FE0">
      <w:pPr>
        <w:spacing w:after="200" w:line="276" w:lineRule="auto"/>
        <w:jc w:val="center"/>
        <w:rPr>
          <w:rFonts w:ascii="Calibri" w:eastAsia="Calibri" w:hAnsi="Calibri"/>
          <w:sz w:val="22"/>
          <w:szCs w:val="22"/>
          <w:lang w:eastAsia="en-US"/>
        </w:rPr>
      </w:pPr>
    </w:p>
    <w:p w:rsidR="000E7FE0" w:rsidRPr="00844F9A" w:rsidRDefault="000E7FE0" w:rsidP="000E7FE0">
      <w:pPr>
        <w:spacing w:after="200" w:line="276" w:lineRule="auto"/>
        <w:jc w:val="center"/>
        <w:rPr>
          <w:rFonts w:ascii="Calibri" w:eastAsia="Calibri" w:hAnsi="Calibri"/>
          <w:sz w:val="22"/>
          <w:szCs w:val="22"/>
          <w:lang w:eastAsia="en-US"/>
        </w:rPr>
      </w:pPr>
      <w:r w:rsidRPr="00844F9A">
        <w:rPr>
          <w:rFonts w:ascii="Calibri" w:eastAsia="Calibri" w:hAnsi="Calibri"/>
          <w:sz w:val="22"/>
          <w:szCs w:val="22"/>
          <w:lang w:eastAsia="en-US"/>
        </w:rPr>
        <w:t>Προς τα μέλη της Διαρκούς</w:t>
      </w:r>
      <w:r w:rsidR="0028594F" w:rsidRPr="00844F9A">
        <w:rPr>
          <w:rFonts w:ascii="Calibri" w:eastAsia="Calibri" w:hAnsi="Calibri"/>
          <w:sz w:val="22"/>
          <w:szCs w:val="22"/>
          <w:lang w:eastAsia="en-US"/>
        </w:rPr>
        <w:t xml:space="preserve"> </w:t>
      </w:r>
      <w:r w:rsidRPr="00844F9A">
        <w:rPr>
          <w:rFonts w:ascii="Calibri" w:eastAsia="Calibri" w:hAnsi="Calibri"/>
          <w:sz w:val="22"/>
          <w:szCs w:val="22"/>
          <w:lang w:eastAsia="en-US"/>
        </w:rPr>
        <w:t>Επιτροπής Οικονομικών Υποθέσεων της Βουλής</w:t>
      </w:r>
    </w:p>
    <w:p w:rsidR="000E7FE0" w:rsidRPr="00844F9A" w:rsidRDefault="000E7FE0" w:rsidP="000E7FE0">
      <w:pPr>
        <w:spacing w:after="200" w:line="276" w:lineRule="auto"/>
        <w:jc w:val="center"/>
        <w:rPr>
          <w:rFonts w:ascii="Calibri" w:eastAsia="Calibri" w:hAnsi="Calibri"/>
          <w:sz w:val="22"/>
          <w:szCs w:val="22"/>
          <w:lang w:eastAsia="en-US"/>
        </w:rPr>
      </w:pPr>
    </w:p>
    <w:p w:rsidR="00FF174C" w:rsidRPr="00844F9A" w:rsidRDefault="00FF174C" w:rsidP="00FF174C">
      <w:pPr>
        <w:jc w:val="both"/>
        <w:rPr>
          <w:rFonts w:ascii="Calibri" w:eastAsia="Calibri" w:hAnsi="Calibri" w:cs="Consolas"/>
          <w:sz w:val="22"/>
          <w:szCs w:val="21"/>
          <w:lang w:eastAsia="en-US"/>
        </w:rPr>
      </w:pPr>
      <w:r w:rsidRPr="00844F9A">
        <w:rPr>
          <w:rFonts w:ascii="Calibri" w:eastAsia="Calibri" w:hAnsi="Calibri" w:cs="Consolas"/>
          <w:sz w:val="22"/>
          <w:szCs w:val="21"/>
          <w:lang w:eastAsia="en-US"/>
        </w:rPr>
        <w:t>Κυρίες και Κύριοι Βουλευτές,</w:t>
      </w:r>
    </w:p>
    <w:p w:rsidR="006B0CB2" w:rsidRPr="006B0CB2" w:rsidRDefault="006B0CB2">
      <w:pPr>
        <w:rPr>
          <w:rFonts w:ascii="Calibri" w:eastAsia="Calibri" w:hAnsi="Calibri" w:cs="Consolas"/>
          <w:sz w:val="22"/>
          <w:szCs w:val="21"/>
          <w:lang w:eastAsia="en-US"/>
        </w:rPr>
      </w:pPr>
    </w:p>
    <w:p w:rsidR="00A32265" w:rsidRPr="007C72A8" w:rsidRDefault="00A32265" w:rsidP="00A32265">
      <w:pPr>
        <w:jc w:val="both"/>
        <w:rPr>
          <w:rFonts w:ascii="Calibri" w:eastAsia="Calibri" w:hAnsi="Calibri" w:cs="Consolas"/>
          <w:sz w:val="22"/>
          <w:szCs w:val="21"/>
          <w:lang w:eastAsia="en-US"/>
        </w:rPr>
      </w:pPr>
      <w:r w:rsidRPr="007C72A8">
        <w:rPr>
          <w:rFonts w:ascii="Calibri" w:eastAsia="Calibri" w:hAnsi="Calibri" w:cs="Consolas"/>
          <w:sz w:val="22"/>
          <w:szCs w:val="21"/>
          <w:lang w:eastAsia="en-US"/>
        </w:rPr>
        <w:t>Καταθέτουμε προς συζήτηση στη Διαρκή Επιτροπή Οικονομικών Υποθέσεων της Βουλής το Προσχέδιο του Κρατικού Προϋπολογισμού του 2021, σε μια περίοδο κατά την οποία η παγκόσμια οικονομία και οι κοινωνίες συ</w:t>
      </w:r>
      <w:r w:rsidR="00C8002D" w:rsidRPr="007C72A8">
        <w:rPr>
          <w:rFonts w:ascii="Calibri" w:eastAsia="Calibri" w:hAnsi="Calibri" w:cs="Consolas"/>
          <w:sz w:val="22"/>
          <w:szCs w:val="21"/>
          <w:lang w:eastAsia="en-US"/>
        </w:rPr>
        <w:t>νεχίζουν να δοκιμάζονται από τη</w:t>
      </w:r>
      <w:r w:rsidRPr="007C72A8">
        <w:rPr>
          <w:rFonts w:ascii="Calibri" w:eastAsia="Calibri" w:hAnsi="Calibri" w:cs="Consolas"/>
          <w:sz w:val="22"/>
          <w:szCs w:val="21"/>
          <w:lang w:eastAsia="en-US"/>
        </w:rPr>
        <w:t xml:space="preserve"> σοβαρότερη υγειονομική κρίση της </w:t>
      </w:r>
      <w:r w:rsidR="00C8002D" w:rsidRPr="007C72A8">
        <w:rPr>
          <w:rFonts w:ascii="Calibri" w:eastAsia="Calibri" w:hAnsi="Calibri" w:cs="Consolas"/>
          <w:sz w:val="22"/>
          <w:szCs w:val="21"/>
          <w:lang w:eastAsia="en-US"/>
        </w:rPr>
        <w:t>τελευταίας εκατονταετίας και τη</w:t>
      </w:r>
      <w:r w:rsidRPr="007C72A8">
        <w:rPr>
          <w:rFonts w:ascii="Calibri" w:eastAsia="Calibri" w:hAnsi="Calibri" w:cs="Consolas"/>
          <w:sz w:val="22"/>
          <w:szCs w:val="21"/>
          <w:lang w:eastAsia="en-US"/>
        </w:rPr>
        <w:t xml:space="preserve"> -συνεπακόλουθη- χειρότερη ετήσια παγκόσμια ύφεση από το τέλος του </w:t>
      </w:r>
      <w:r w:rsidR="00C8002D" w:rsidRPr="007C72A8">
        <w:rPr>
          <w:rFonts w:ascii="Calibri" w:eastAsia="Calibri" w:hAnsi="Calibri" w:cs="Consolas"/>
          <w:sz w:val="22"/>
          <w:szCs w:val="21"/>
          <w:lang w:eastAsia="en-US"/>
        </w:rPr>
        <w:t xml:space="preserve">Δευτέρου </w:t>
      </w:r>
      <w:r w:rsidRPr="007C72A8">
        <w:rPr>
          <w:rFonts w:ascii="Calibri" w:eastAsia="Calibri" w:hAnsi="Calibri" w:cs="Consolas"/>
          <w:sz w:val="22"/>
          <w:szCs w:val="21"/>
          <w:lang w:eastAsia="en-US"/>
        </w:rPr>
        <w:t xml:space="preserve">Παγκοσμίου Πολέμου. </w:t>
      </w:r>
    </w:p>
    <w:p w:rsidR="007C72A8" w:rsidRDefault="007C72A8" w:rsidP="00A32265">
      <w:pPr>
        <w:jc w:val="both"/>
        <w:rPr>
          <w:rFonts w:ascii="Calibri" w:eastAsia="Calibri" w:hAnsi="Calibri" w:cs="Consolas"/>
          <w:sz w:val="22"/>
          <w:szCs w:val="21"/>
          <w:lang w:eastAsia="en-US"/>
        </w:rPr>
      </w:pPr>
    </w:p>
    <w:p w:rsidR="00A32265" w:rsidRPr="007C72A8" w:rsidRDefault="00A32265" w:rsidP="00A32265">
      <w:pPr>
        <w:jc w:val="both"/>
        <w:rPr>
          <w:rFonts w:ascii="Calibri" w:eastAsia="Calibri" w:hAnsi="Calibri" w:cs="Consolas"/>
          <w:sz w:val="22"/>
          <w:szCs w:val="21"/>
          <w:lang w:eastAsia="en-US"/>
        </w:rPr>
      </w:pPr>
      <w:r w:rsidRPr="007C72A8">
        <w:rPr>
          <w:rFonts w:ascii="Calibri" w:eastAsia="Calibri" w:hAnsi="Calibri" w:cs="Consolas"/>
          <w:sz w:val="22"/>
          <w:szCs w:val="21"/>
          <w:lang w:eastAsia="en-US"/>
        </w:rPr>
        <w:t>Ο προϋπολογισμός του 2021 καταρτίζεται</w:t>
      </w:r>
      <w:r w:rsidR="00B22BE5" w:rsidRPr="00B22BE5">
        <w:rPr>
          <w:rFonts w:ascii="Calibri" w:eastAsia="Calibri" w:hAnsi="Calibri" w:cs="Consolas"/>
          <w:sz w:val="22"/>
          <w:szCs w:val="21"/>
          <w:lang w:eastAsia="en-US"/>
        </w:rPr>
        <w:t>,</w:t>
      </w:r>
      <w:r w:rsidRPr="007C72A8">
        <w:rPr>
          <w:rFonts w:ascii="Calibri" w:eastAsia="Calibri" w:hAnsi="Calibri" w:cs="Consolas"/>
          <w:sz w:val="22"/>
          <w:szCs w:val="21"/>
          <w:lang w:eastAsia="en-US"/>
        </w:rPr>
        <w:t xml:space="preserve"> δυστυχώς</w:t>
      </w:r>
      <w:r w:rsidR="00B22BE5" w:rsidRPr="00B22BE5">
        <w:rPr>
          <w:rFonts w:ascii="Calibri" w:eastAsia="Calibri" w:hAnsi="Calibri" w:cs="Consolas"/>
          <w:sz w:val="22"/>
          <w:szCs w:val="21"/>
          <w:lang w:eastAsia="en-US"/>
        </w:rPr>
        <w:t>,</w:t>
      </w:r>
      <w:r w:rsidRPr="007C72A8">
        <w:rPr>
          <w:rFonts w:ascii="Calibri" w:eastAsia="Calibri" w:hAnsi="Calibri" w:cs="Consolas"/>
          <w:sz w:val="22"/>
          <w:szCs w:val="21"/>
          <w:lang w:eastAsia="en-US"/>
        </w:rPr>
        <w:t xml:space="preserve"> υπό παράδοξες και εξαιρετικά αντίξοες συνθήκες και υπό το καθεστώς σοβαρής αβεβαιότητας, που συνεπάγεται η ευμετάβλητη </w:t>
      </w:r>
      <w:proofErr w:type="spellStart"/>
      <w:r w:rsidRPr="007C72A8">
        <w:rPr>
          <w:rFonts w:ascii="Calibri" w:eastAsia="Calibri" w:hAnsi="Calibri" w:cs="Consolas"/>
          <w:sz w:val="22"/>
          <w:szCs w:val="21"/>
          <w:lang w:eastAsia="en-US"/>
        </w:rPr>
        <w:t>πιθανολόγηση</w:t>
      </w:r>
      <w:proofErr w:type="spellEnd"/>
      <w:r w:rsidRPr="007C72A8">
        <w:rPr>
          <w:rFonts w:ascii="Calibri" w:eastAsia="Calibri" w:hAnsi="Calibri" w:cs="Consolas"/>
          <w:sz w:val="22"/>
          <w:szCs w:val="21"/>
          <w:lang w:eastAsia="en-US"/>
        </w:rPr>
        <w:t xml:space="preserve"> του χρόνου λήξης της πανδημίας και επιστροφής της παγκόσμιας οικονομίας σε τροχιά κανονικότητας, σημαντικής ανάταξης και διατηρήσιμης ανάπτυξης.</w:t>
      </w:r>
    </w:p>
    <w:p w:rsidR="007C72A8" w:rsidRDefault="007C72A8" w:rsidP="00A32265">
      <w:pPr>
        <w:jc w:val="both"/>
        <w:rPr>
          <w:rFonts w:ascii="Calibri" w:eastAsia="Calibri" w:hAnsi="Calibri" w:cs="Consolas"/>
          <w:sz w:val="22"/>
          <w:szCs w:val="21"/>
          <w:lang w:eastAsia="en-US"/>
        </w:rPr>
      </w:pPr>
    </w:p>
    <w:p w:rsidR="00A32265" w:rsidRPr="007C72A8" w:rsidRDefault="00A32265" w:rsidP="00A32265">
      <w:pPr>
        <w:jc w:val="both"/>
        <w:rPr>
          <w:rFonts w:ascii="Calibri" w:eastAsia="Calibri" w:hAnsi="Calibri" w:cs="Consolas"/>
          <w:sz w:val="22"/>
          <w:szCs w:val="21"/>
          <w:lang w:eastAsia="en-US"/>
        </w:rPr>
      </w:pPr>
      <w:r w:rsidRPr="007C72A8">
        <w:rPr>
          <w:rFonts w:ascii="Calibri" w:eastAsia="Calibri" w:hAnsi="Calibri" w:cs="Consolas"/>
          <w:sz w:val="22"/>
          <w:szCs w:val="21"/>
          <w:lang w:eastAsia="en-US"/>
        </w:rPr>
        <w:t xml:space="preserve">Η εγγενής αυτή αβεβαιότητα και οι μεταφερόμενες οικονομικές και δημοσιονομικές συνέπειες της ύφεσης </w:t>
      </w:r>
      <w:r w:rsidR="00B22BE5">
        <w:rPr>
          <w:rFonts w:ascii="Calibri" w:eastAsia="Calibri" w:hAnsi="Calibri" w:cs="Consolas"/>
          <w:sz w:val="22"/>
          <w:szCs w:val="21"/>
          <w:lang w:eastAsia="en-US"/>
        </w:rPr>
        <w:t xml:space="preserve">το επόμενο έτος, </w:t>
      </w:r>
      <w:r w:rsidRPr="007C72A8">
        <w:rPr>
          <w:rFonts w:ascii="Calibri" w:eastAsia="Calibri" w:hAnsi="Calibri" w:cs="Consolas"/>
          <w:sz w:val="22"/>
          <w:szCs w:val="21"/>
          <w:lang w:eastAsia="en-US"/>
        </w:rPr>
        <w:t>οδήγησαν τα ευρωπαϊκά θεσμικά όργανα στην απόφαση να ισχύσει, και το 2021, στα δημοσιονομικά των χωρών μελών της ευρωζώνης</w:t>
      </w:r>
      <w:r w:rsidR="00C8002D" w:rsidRPr="007C72A8">
        <w:rPr>
          <w:rFonts w:ascii="Calibri" w:eastAsia="Calibri" w:hAnsi="Calibri" w:cs="Consolas"/>
          <w:sz w:val="22"/>
          <w:szCs w:val="21"/>
          <w:lang w:eastAsia="en-US"/>
        </w:rPr>
        <w:t>,</w:t>
      </w:r>
      <w:r w:rsidRPr="007C72A8">
        <w:rPr>
          <w:rFonts w:ascii="Calibri" w:eastAsia="Calibri" w:hAnsi="Calibri" w:cs="Consolas"/>
          <w:sz w:val="22"/>
          <w:szCs w:val="21"/>
          <w:lang w:eastAsia="en-US"/>
        </w:rPr>
        <w:t xml:space="preserve"> η </w:t>
      </w:r>
      <w:r w:rsidR="00C8002D" w:rsidRPr="007C72A8">
        <w:rPr>
          <w:rFonts w:ascii="Calibri" w:eastAsia="Calibri" w:hAnsi="Calibri" w:cs="Consolas"/>
          <w:sz w:val="22"/>
          <w:szCs w:val="21"/>
          <w:lang w:eastAsia="en-US"/>
        </w:rPr>
        <w:t xml:space="preserve">γενική </w:t>
      </w:r>
      <w:r w:rsidRPr="007C72A8">
        <w:rPr>
          <w:rFonts w:ascii="Calibri" w:eastAsia="Calibri" w:hAnsi="Calibri" w:cs="Consolas"/>
          <w:sz w:val="22"/>
          <w:szCs w:val="21"/>
          <w:lang w:eastAsia="en-US"/>
        </w:rPr>
        <w:t>ρήτρα δια</w:t>
      </w:r>
      <w:r w:rsidR="00C8002D" w:rsidRPr="007C72A8">
        <w:rPr>
          <w:rFonts w:ascii="Calibri" w:eastAsia="Calibri" w:hAnsi="Calibri" w:cs="Consolas"/>
          <w:sz w:val="22"/>
          <w:szCs w:val="21"/>
          <w:lang w:eastAsia="en-US"/>
        </w:rPr>
        <w:t>φυγής</w:t>
      </w:r>
      <w:r w:rsidRPr="007C72A8">
        <w:rPr>
          <w:rFonts w:ascii="Calibri" w:eastAsia="Calibri" w:hAnsi="Calibri" w:cs="Consolas"/>
          <w:sz w:val="22"/>
          <w:szCs w:val="21"/>
          <w:lang w:eastAsia="en-US"/>
        </w:rPr>
        <w:t xml:space="preserve">. Απόφαση που έχει ως στόχο να προφυλαχθεί, στο μέγιστο δυνατό βαθμό, από τις επιπτώσεις της πανδημίας ο παραγωγικός και κοινωνικός ιστός και να μην παρεμποδιστεί η σημαντική ανάκαμψη που σε κάθε περίπτωση προβλέπεται για το επόμενο έτος. Στο πλαίσιο της γενικής </w:t>
      </w:r>
      <w:r w:rsidR="00C8002D" w:rsidRPr="007C72A8">
        <w:rPr>
          <w:rFonts w:ascii="Calibri" w:eastAsia="Calibri" w:hAnsi="Calibri" w:cs="Consolas"/>
          <w:sz w:val="22"/>
          <w:szCs w:val="21"/>
          <w:lang w:eastAsia="en-US"/>
        </w:rPr>
        <w:t xml:space="preserve">ρήτρας </w:t>
      </w:r>
      <w:r w:rsidRPr="007C72A8">
        <w:rPr>
          <w:rFonts w:ascii="Calibri" w:eastAsia="Calibri" w:hAnsi="Calibri" w:cs="Consolas"/>
          <w:sz w:val="22"/>
          <w:szCs w:val="21"/>
          <w:lang w:eastAsia="en-US"/>
        </w:rPr>
        <w:t>διαφυγής</w:t>
      </w:r>
      <w:r w:rsidR="00C8002D" w:rsidRPr="007C72A8">
        <w:rPr>
          <w:rFonts w:ascii="Calibri" w:eastAsia="Calibri" w:hAnsi="Calibri" w:cs="Consolas"/>
          <w:sz w:val="22"/>
          <w:szCs w:val="21"/>
          <w:lang w:eastAsia="en-US"/>
        </w:rPr>
        <w:t>,</w:t>
      </w:r>
      <w:r w:rsidRPr="007C72A8">
        <w:rPr>
          <w:rFonts w:ascii="Calibri" w:eastAsia="Calibri" w:hAnsi="Calibri" w:cs="Consolas"/>
          <w:sz w:val="22"/>
          <w:szCs w:val="21"/>
          <w:lang w:eastAsia="en-US"/>
        </w:rPr>
        <w:t xml:space="preserve"> αποκτά ακόμα μεγαλύτερη σημασία κατά την κατάρτιση του προϋπολογισμού, η εμπιστοσύνη που απολαμβάνει η χώρα τόσο στις αγορές όσο και μεταξύ των εταίρων και πιστωτών της. Αυτή αντανακλάται στα επιτόκια των ελληνικών ομολόγων που βρίσκονται σήμερα σε ιστορικά χαμηλά και είναι κατά τάξεις μεγέθους μικρότερα από</w:t>
      </w:r>
      <w:r w:rsidR="00CE08B8" w:rsidRPr="007C72A8">
        <w:rPr>
          <w:rFonts w:ascii="Calibri" w:eastAsia="Calibri" w:hAnsi="Calibri" w:cs="Consolas"/>
          <w:sz w:val="22"/>
          <w:szCs w:val="21"/>
          <w:lang w:eastAsia="en-US"/>
        </w:rPr>
        <w:t>`</w:t>
      </w:r>
      <w:r w:rsidRPr="007C72A8">
        <w:rPr>
          <w:rFonts w:ascii="Calibri" w:eastAsia="Calibri" w:hAnsi="Calibri" w:cs="Consolas"/>
          <w:sz w:val="22"/>
          <w:szCs w:val="21"/>
          <w:lang w:eastAsia="en-US"/>
        </w:rPr>
        <w:t xml:space="preserve"> αυτά με τα οποία δανειζόταν η προηγούμενη κυβέρνηση. </w:t>
      </w:r>
    </w:p>
    <w:p w:rsidR="007C72A8" w:rsidRDefault="007C72A8" w:rsidP="00A32265">
      <w:pPr>
        <w:jc w:val="both"/>
        <w:rPr>
          <w:rFonts w:ascii="Calibri" w:eastAsia="Calibri" w:hAnsi="Calibri" w:cs="Consolas"/>
          <w:sz w:val="22"/>
          <w:szCs w:val="21"/>
          <w:lang w:eastAsia="en-US"/>
        </w:rPr>
      </w:pPr>
    </w:p>
    <w:p w:rsidR="00A32265" w:rsidRPr="007C72A8" w:rsidRDefault="00A32265" w:rsidP="00A32265">
      <w:pPr>
        <w:jc w:val="both"/>
        <w:rPr>
          <w:rFonts w:ascii="Calibri" w:eastAsia="Calibri" w:hAnsi="Calibri" w:cs="Consolas"/>
          <w:sz w:val="22"/>
          <w:szCs w:val="21"/>
          <w:lang w:eastAsia="en-US"/>
        </w:rPr>
      </w:pPr>
      <w:r w:rsidRPr="007C72A8">
        <w:rPr>
          <w:rFonts w:ascii="Calibri" w:eastAsia="Calibri" w:hAnsi="Calibri" w:cs="Consolas"/>
          <w:sz w:val="22"/>
          <w:szCs w:val="21"/>
          <w:lang w:eastAsia="en-US"/>
        </w:rPr>
        <w:t xml:space="preserve">Επίσης πολύ σημαντικό ρόλο διαδραματίζουν </w:t>
      </w:r>
      <w:r w:rsidR="00C8002D" w:rsidRPr="007C72A8">
        <w:rPr>
          <w:rFonts w:ascii="Calibri" w:eastAsia="Calibri" w:hAnsi="Calibri" w:cs="Consolas"/>
          <w:sz w:val="22"/>
          <w:szCs w:val="21"/>
          <w:lang w:eastAsia="en-US"/>
        </w:rPr>
        <w:t>στον προϋπολογισμό του 2021 οι ε</w:t>
      </w:r>
      <w:r w:rsidRPr="007C72A8">
        <w:rPr>
          <w:rFonts w:ascii="Calibri" w:eastAsia="Calibri" w:hAnsi="Calibri" w:cs="Consolas"/>
          <w:sz w:val="22"/>
          <w:szCs w:val="21"/>
          <w:lang w:eastAsia="en-US"/>
        </w:rPr>
        <w:t xml:space="preserve">υρωπαϊκοί πόροι που η χώρα διασφάλισε στη διαπραγμάτευση του Ιουλίου του 2020 και θα εισρεύσουν το 2021 στα πλαίσια του Ταμείου Ανάκαμψης και του </w:t>
      </w:r>
      <w:proofErr w:type="spellStart"/>
      <w:r w:rsidRPr="007C72A8">
        <w:rPr>
          <w:rFonts w:ascii="Calibri" w:eastAsia="Calibri" w:hAnsi="Calibri" w:cs="Consolas"/>
          <w:sz w:val="22"/>
          <w:szCs w:val="21"/>
          <w:lang w:eastAsia="en-US"/>
        </w:rPr>
        <w:t>React</w:t>
      </w:r>
      <w:proofErr w:type="spellEnd"/>
      <w:r w:rsidRPr="007C72A8">
        <w:rPr>
          <w:rFonts w:ascii="Calibri" w:eastAsia="Calibri" w:hAnsi="Calibri" w:cs="Consolas"/>
          <w:sz w:val="22"/>
          <w:szCs w:val="21"/>
          <w:lang w:eastAsia="en-US"/>
        </w:rPr>
        <w:t xml:space="preserve"> EU. Οι πόροι αυτοί ενισχύουν την ανάκαμψη της χώρας προσθέτοντας δύο </w:t>
      </w:r>
      <w:r w:rsidR="00C8002D" w:rsidRPr="007C72A8">
        <w:rPr>
          <w:rFonts w:ascii="Calibri" w:eastAsia="Calibri" w:hAnsi="Calibri" w:cs="Consolas"/>
          <w:sz w:val="22"/>
          <w:szCs w:val="21"/>
          <w:lang w:eastAsia="en-US"/>
        </w:rPr>
        <w:t xml:space="preserve">ποσοστιαίες </w:t>
      </w:r>
      <w:r w:rsidRPr="007C72A8">
        <w:rPr>
          <w:rFonts w:ascii="Calibri" w:eastAsia="Calibri" w:hAnsi="Calibri" w:cs="Consolas"/>
          <w:sz w:val="22"/>
          <w:szCs w:val="21"/>
          <w:lang w:eastAsia="en-US"/>
        </w:rPr>
        <w:t>μονάδες στην ανάπτυξη το 2021, ανεβάζοντάς την από το 5,5% (σενάριο βάσης), στο 7,5% (τελική πρόβλεψη Προσχεδίου).</w:t>
      </w:r>
      <w:r w:rsidR="00CE3EF7" w:rsidRPr="007C72A8">
        <w:rPr>
          <w:rFonts w:ascii="Calibri" w:eastAsia="Calibri" w:hAnsi="Calibri" w:cs="Consolas"/>
          <w:sz w:val="22"/>
          <w:szCs w:val="21"/>
          <w:lang w:eastAsia="en-US"/>
        </w:rPr>
        <w:t xml:space="preserve"> Στο δυσμενές σενάριο για την εξέλιξη της πανδημίας, είτε εντός του 2020, είτε στο δεύτερο τρίμηνο του 2021</w:t>
      </w:r>
      <w:r w:rsidR="00C8002D" w:rsidRPr="007C72A8">
        <w:rPr>
          <w:rFonts w:ascii="Calibri" w:eastAsia="Calibri" w:hAnsi="Calibri" w:cs="Consolas"/>
          <w:sz w:val="22"/>
          <w:szCs w:val="21"/>
          <w:lang w:eastAsia="en-US"/>
        </w:rPr>
        <w:t>,</w:t>
      </w:r>
      <w:r w:rsidR="00CE3EF7" w:rsidRPr="007C72A8">
        <w:rPr>
          <w:rFonts w:ascii="Calibri" w:eastAsia="Calibri" w:hAnsi="Calibri" w:cs="Consolas"/>
          <w:sz w:val="22"/>
          <w:szCs w:val="21"/>
          <w:lang w:eastAsia="en-US"/>
        </w:rPr>
        <w:t xml:space="preserve"> η ανάπτυξη στο επόμενο έτος θα περιοριστεί, ως ποσοστό του ΑΕΠ, στο 4,5% με 5%.</w:t>
      </w:r>
    </w:p>
    <w:p w:rsidR="007C72A8" w:rsidRDefault="007C72A8" w:rsidP="00A32265">
      <w:pPr>
        <w:jc w:val="both"/>
        <w:rPr>
          <w:rFonts w:ascii="Calibri" w:eastAsia="Calibri" w:hAnsi="Calibri" w:cs="Consolas"/>
          <w:sz w:val="22"/>
          <w:szCs w:val="21"/>
          <w:lang w:eastAsia="en-US"/>
        </w:rPr>
      </w:pPr>
    </w:p>
    <w:p w:rsidR="00A32265" w:rsidRPr="007C72A8" w:rsidRDefault="00A32265" w:rsidP="00A32265">
      <w:pPr>
        <w:jc w:val="both"/>
        <w:rPr>
          <w:rFonts w:ascii="Calibri" w:eastAsia="Calibri" w:hAnsi="Calibri" w:cs="Consolas"/>
          <w:sz w:val="22"/>
          <w:szCs w:val="21"/>
          <w:lang w:eastAsia="en-US"/>
        </w:rPr>
      </w:pPr>
      <w:r w:rsidRPr="007C72A8">
        <w:rPr>
          <w:rFonts w:ascii="Calibri" w:eastAsia="Calibri" w:hAnsi="Calibri" w:cs="Consolas"/>
          <w:sz w:val="22"/>
          <w:szCs w:val="21"/>
          <w:lang w:eastAsia="en-US"/>
        </w:rPr>
        <w:t>Η δυναμική ανάκαμψη η οποία προβλέπεται για το 2021 διευκολύνεται επίσης από τα μέτρα μείωσης του φορολογικού και ασφαλιστικού βάρους και ενθάρρυνσης της δημιουργίας νέων θέσεων εργασίας</w:t>
      </w:r>
      <w:r w:rsidR="00C8002D" w:rsidRPr="007C72A8">
        <w:rPr>
          <w:rFonts w:ascii="Calibri" w:eastAsia="Calibri" w:hAnsi="Calibri" w:cs="Consolas"/>
          <w:sz w:val="22"/>
          <w:szCs w:val="21"/>
          <w:lang w:eastAsia="en-US"/>
        </w:rPr>
        <w:t>,</w:t>
      </w:r>
      <w:r w:rsidRPr="007C72A8">
        <w:rPr>
          <w:rFonts w:ascii="Calibri" w:eastAsia="Calibri" w:hAnsi="Calibri" w:cs="Consolas"/>
          <w:sz w:val="22"/>
          <w:szCs w:val="21"/>
          <w:lang w:eastAsia="en-US"/>
        </w:rPr>
        <w:t xml:space="preserve"> που περιλαμβάνονται στον προϋπολογισμό του 2021. Μέτρα που αφορούν -μεταξύ άλλων- στη μείωση των ασφαλιστικών εισφορών κατά τρεις μονάδες από την 1.1.2021, στην κατάργηση της εισφοράς αλληλεγγύης για τα εισοδήματα που προέρχονται από ιδιωτική ο</w:t>
      </w:r>
      <w:r w:rsidR="00C8002D" w:rsidRPr="007C72A8">
        <w:rPr>
          <w:rFonts w:ascii="Calibri" w:eastAsia="Calibri" w:hAnsi="Calibri" w:cs="Consolas"/>
          <w:sz w:val="22"/>
          <w:szCs w:val="21"/>
          <w:lang w:eastAsia="en-US"/>
        </w:rPr>
        <w:t>ικονομική δραστηριότητα και στη</w:t>
      </w:r>
      <w:r w:rsidRPr="007C72A8">
        <w:rPr>
          <w:rFonts w:ascii="Calibri" w:eastAsia="Calibri" w:hAnsi="Calibri" w:cs="Consolas"/>
          <w:sz w:val="22"/>
          <w:szCs w:val="21"/>
          <w:lang w:eastAsia="en-US"/>
        </w:rPr>
        <w:t xml:space="preserve"> δυνατότητα προσλήψεων χωρίς ασφαλιστικές εισφορές για έξι μήνες και υπό ελάχιστες γραφειοκρατικές προϋποθέσεις, που ήδη ξεκίνησε από την 1η Οκτωβρίου του 2020. Η ανάκαμψη διευκολύνεται επίσης από τα εκτεταμένα αλλά συνετά μέτρα στήριξης του 2020, που έχουν δημοσιονομικές επιπτώσεις και το 2021.</w:t>
      </w:r>
    </w:p>
    <w:p w:rsidR="007C72A8" w:rsidRDefault="007C72A8" w:rsidP="00A32265">
      <w:pPr>
        <w:jc w:val="both"/>
        <w:rPr>
          <w:rFonts w:ascii="Calibri" w:eastAsia="Calibri" w:hAnsi="Calibri" w:cs="Consolas"/>
          <w:sz w:val="22"/>
          <w:szCs w:val="21"/>
          <w:lang w:eastAsia="en-US"/>
        </w:rPr>
      </w:pPr>
    </w:p>
    <w:p w:rsidR="00A32265" w:rsidRPr="007C72A8" w:rsidRDefault="00A32265" w:rsidP="00A32265">
      <w:pPr>
        <w:jc w:val="both"/>
        <w:rPr>
          <w:rFonts w:ascii="Calibri" w:eastAsia="Calibri" w:hAnsi="Calibri" w:cs="Consolas"/>
          <w:sz w:val="22"/>
          <w:szCs w:val="21"/>
          <w:lang w:eastAsia="en-US"/>
        </w:rPr>
      </w:pPr>
      <w:r w:rsidRPr="007C72A8">
        <w:rPr>
          <w:rFonts w:ascii="Calibri" w:eastAsia="Calibri" w:hAnsi="Calibri" w:cs="Consolas"/>
          <w:sz w:val="22"/>
          <w:szCs w:val="21"/>
          <w:lang w:eastAsia="en-US"/>
        </w:rPr>
        <w:t xml:space="preserve">Στον προϋπολογισμό του 2021 διατηρείται, για λόγους ασφάλειας, το ειδικό αποθεματικό που δημιουργήθηκε το 2020 για τον </w:t>
      </w:r>
      <w:r w:rsidR="00C8002D" w:rsidRPr="007C72A8">
        <w:rPr>
          <w:rFonts w:ascii="Calibri" w:eastAsia="Calibri" w:hAnsi="Calibri" w:cs="Consolas"/>
          <w:sz w:val="22"/>
          <w:szCs w:val="21"/>
          <w:lang w:eastAsia="en-US"/>
        </w:rPr>
        <w:t>Covid</w:t>
      </w:r>
      <w:r w:rsidRPr="007C72A8">
        <w:rPr>
          <w:rFonts w:ascii="Calibri" w:eastAsia="Calibri" w:hAnsi="Calibri" w:cs="Consolas"/>
          <w:sz w:val="22"/>
          <w:szCs w:val="21"/>
          <w:lang w:eastAsia="en-US"/>
        </w:rPr>
        <w:t xml:space="preserve">-19, ώστε να υπάρχει δυνατότητα αντιμετώπισης αναγκών που μπορεί να δημιουργηθούν τόσο </w:t>
      </w:r>
      <w:r w:rsidR="00C8002D" w:rsidRPr="007C72A8">
        <w:rPr>
          <w:rFonts w:ascii="Calibri" w:eastAsia="Calibri" w:hAnsi="Calibri" w:cs="Consolas"/>
          <w:sz w:val="22"/>
          <w:szCs w:val="21"/>
          <w:lang w:eastAsia="en-US"/>
        </w:rPr>
        <w:t>από τις υγειονομικές</w:t>
      </w:r>
      <w:r w:rsidRPr="007C72A8">
        <w:rPr>
          <w:rFonts w:ascii="Calibri" w:eastAsia="Calibri" w:hAnsi="Calibri" w:cs="Consolas"/>
          <w:sz w:val="22"/>
          <w:szCs w:val="21"/>
          <w:lang w:eastAsia="en-US"/>
        </w:rPr>
        <w:t xml:space="preserve"> όσο και </w:t>
      </w:r>
      <w:r w:rsidR="00C8002D" w:rsidRPr="007C72A8">
        <w:rPr>
          <w:rFonts w:ascii="Calibri" w:eastAsia="Calibri" w:hAnsi="Calibri" w:cs="Consolas"/>
          <w:sz w:val="22"/>
          <w:szCs w:val="21"/>
          <w:lang w:eastAsia="en-US"/>
        </w:rPr>
        <w:t>από τις οικονομικές</w:t>
      </w:r>
      <w:r w:rsidRPr="007C72A8">
        <w:rPr>
          <w:rFonts w:ascii="Calibri" w:eastAsia="Calibri" w:hAnsi="Calibri" w:cs="Consolas"/>
          <w:sz w:val="22"/>
          <w:szCs w:val="21"/>
          <w:lang w:eastAsia="en-US"/>
        </w:rPr>
        <w:t xml:space="preserve"> πτυ</w:t>
      </w:r>
      <w:r w:rsidR="00C8002D" w:rsidRPr="007C72A8">
        <w:rPr>
          <w:rFonts w:ascii="Calibri" w:eastAsia="Calibri" w:hAnsi="Calibri" w:cs="Consolas"/>
          <w:sz w:val="22"/>
          <w:szCs w:val="21"/>
          <w:lang w:eastAsia="en-US"/>
        </w:rPr>
        <w:t>χές</w:t>
      </w:r>
      <w:r w:rsidRPr="007C72A8">
        <w:rPr>
          <w:rFonts w:ascii="Calibri" w:eastAsia="Calibri" w:hAnsi="Calibri" w:cs="Consolas"/>
          <w:sz w:val="22"/>
          <w:szCs w:val="21"/>
          <w:lang w:eastAsia="en-US"/>
        </w:rPr>
        <w:t xml:space="preserve"> της παν</w:t>
      </w:r>
      <w:r w:rsidRPr="007C72A8">
        <w:rPr>
          <w:rFonts w:ascii="Calibri" w:eastAsia="Calibri" w:hAnsi="Calibri" w:cs="Consolas"/>
          <w:sz w:val="22"/>
          <w:szCs w:val="21"/>
          <w:lang w:eastAsia="en-US"/>
        </w:rPr>
        <w:lastRenderedPageBreak/>
        <w:t>δημίας τους πρώτους μήνες του 2021. Οι ανάγκες αυτές και οι συνέπειες της ύφεσης του 2020 οδηγούν σε πρόβλεψη πρωτογενούς ελλείμματος ύψους 1% για το 2021, ποσοστό που συνδυάζει τη συνέχιση της επεκτατικής δημοσιονομικής πολιτικής με την αναγκαία όμως σύνεση που απαιτεί η διασφάλιση της μακροχρόνιας ισορροπίας της Ελληνικής οικονομίας.</w:t>
      </w:r>
      <w:r w:rsidR="00CE3EF7" w:rsidRPr="007C72A8">
        <w:rPr>
          <w:rFonts w:ascii="Calibri" w:eastAsia="Calibri" w:hAnsi="Calibri" w:cs="Consolas"/>
          <w:sz w:val="22"/>
          <w:szCs w:val="21"/>
          <w:lang w:eastAsia="en-US"/>
        </w:rPr>
        <w:t xml:space="preserve"> Το ποσοστό αυτό θα επιδεινωθεί </w:t>
      </w:r>
      <w:r w:rsidR="00486F04" w:rsidRPr="007C72A8">
        <w:rPr>
          <w:rFonts w:ascii="Calibri" w:eastAsia="Calibri" w:hAnsi="Calibri" w:cs="Consolas"/>
          <w:sz w:val="22"/>
          <w:szCs w:val="21"/>
          <w:lang w:eastAsia="en-US"/>
        </w:rPr>
        <w:t xml:space="preserve">και θα κινηθεί </w:t>
      </w:r>
      <w:r w:rsidR="00CE3EF7" w:rsidRPr="007C72A8">
        <w:rPr>
          <w:rFonts w:ascii="Calibri" w:eastAsia="Calibri" w:hAnsi="Calibri" w:cs="Consolas"/>
          <w:sz w:val="22"/>
          <w:szCs w:val="21"/>
          <w:lang w:eastAsia="en-US"/>
        </w:rPr>
        <w:t xml:space="preserve">στην περιοχή του 3% στην περίπτωση του δυσμενούς </w:t>
      </w:r>
      <w:r w:rsidR="00C8002D" w:rsidRPr="007C72A8">
        <w:rPr>
          <w:rFonts w:ascii="Calibri" w:eastAsia="Calibri" w:hAnsi="Calibri" w:cs="Consolas"/>
          <w:sz w:val="22"/>
          <w:szCs w:val="21"/>
          <w:lang w:eastAsia="en-US"/>
        </w:rPr>
        <w:t xml:space="preserve">μακροοικονομικού </w:t>
      </w:r>
      <w:r w:rsidR="00CE3EF7" w:rsidRPr="007C72A8">
        <w:rPr>
          <w:rFonts w:ascii="Calibri" w:eastAsia="Calibri" w:hAnsi="Calibri" w:cs="Consolas"/>
          <w:sz w:val="22"/>
          <w:szCs w:val="21"/>
          <w:lang w:eastAsia="en-US"/>
        </w:rPr>
        <w:t>σεναρίου.</w:t>
      </w:r>
    </w:p>
    <w:p w:rsidR="007C72A8" w:rsidRDefault="007C72A8" w:rsidP="00A32265">
      <w:pPr>
        <w:jc w:val="both"/>
        <w:rPr>
          <w:rFonts w:ascii="Calibri" w:eastAsia="Calibri" w:hAnsi="Calibri" w:cs="Consolas"/>
          <w:sz w:val="22"/>
          <w:szCs w:val="21"/>
          <w:lang w:eastAsia="en-US"/>
        </w:rPr>
      </w:pPr>
    </w:p>
    <w:p w:rsidR="00A32265" w:rsidRPr="007C72A8" w:rsidRDefault="00A32265" w:rsidP="00A32265">
      <w:pPr>
        <w:jc w:val="both"/>
        <w:rPr>
          <w:rFonts w:ascii="Calibri" w:eastAsia="Calibri" w:hAnsi="Calibri" w:cs="Consolas"/>
          <w:sz w:val="22"/>
          <w:szCs w:val="21"/>
          <w:lang w:eastAsia="en-US"/>
        </w:rPr>
      </w:pPr>
      <w:r w:rsidRPr="007C72A8">
        <w:rPr>
          <w:rFonts w:ascii="Calibri" w:eastAsia="Calibri" w:hAnsi="Calibri" w:cs="Consolas"/>
          <w:sz w:val="22"/>
          <w:szCs w:val="21"/>
          <w:lang w:eastAsia="en-US"/>
        </w:rPr>
        <w:t xml:space="preserve">Ο προϋπολογισμός του 2021, εκ της φύσεώς του αλλά και λόγω των </w:t>
      </w:r>
      <w:r w:rsidR="00C8002D" w:rsidRPr="007C72A8">
        <w:rPr>
          <w:rFonts w:ascii="Calibri" w:eastAsia="Calibri" w:hAnsi="Calibri" w:cs="Consolas"/>
          <w:sz w:val="22"/>
          <w:szCs w:val="21"/>
          <w:lang w:eastAsia="en-US"/>
        </w:rPr>
        <w:t>υποχρεώσεων όλων των χωρών στο πλαίσιο</w:t>
      </w:r>
      <w:r w:rsidRPr="007C72A8">
        <w:rPr>
          <w:rFonts w:ascii="Calibri" w:eastAsia="Calibri" w:hAnsi="Calibri" w:cs="Consolas"/>
          <w:sz w:val="22"/>
          <w:szCs w:val="21"/>
          <w:lang w:eastAsia="en-US"/>
        </w:rPr>
        <w:t xml:space="preserve"> των ευρωπαϊκών θεσμικών οργάνων, δεν μπορεί να περιλαμβάνει μόνιμα δημοσιονομικά μέτρα. Η αξιοποίηση των ευρωπαϊκών πόρων, για τον ταχύτατο ηλεκτρονικό εκσυγχρονισμό των κρατικών δομών και οι παράλληλες μεταρρυθμίσεις που προγραμματίζουν τα </w:t>
      </w:r>
      <w:r w:rsidR="00C8002D" w:rsidRPr="007C72A8">
        <w:rPr>
          <w:rFonts w:ascii="Calibri" w:eastAsia="Calibri" w:hAnsi="Calibri" w:cs="Consolas"/>
          <w:sz w:val="22"/>
          <w:szCs w:val="21"/>
          <w:lang w:eastAsia="en-US"/>
        </w:rPr>
        <w:t xml:space="preserve">Υπουργεία </w:t>
      </w:r>
      <w:r w:rsidRPr="007C72A8">
        <w:rPr>
          <w:rFonts w:ascii="Calibri" w:eastAsia="Calibri" w:hAnsi="Calibri" w:cs="Consolas"/>
          <w:sz w:val="22"/>
          <w:szCs w:val="21"/>
          <w:lang w:eastAsia="en-US"/>
        </w:rPr>
        <w:t xml:space="preserve">Οικονομικών και Εργασίας </w:t>
      </w:r>
      <w:r w:rsidR="00C8002D" w:rsidRPr="007C72A8">
        <w:rPr>
          <w:rFonts w:ascii="Calibri" w:eastAsia="Calibri" w:hAnsi="Calibri" w:cs="Consolas"/>
          <w:sz w:val="22"/>
          <w:szCs w:val="21"/>
          <w:lang w:eastAsia="en-US"/>
        </w:rPr>
        <w:t xml:space="preserve">και Κοινωνικών Υποθέσεων </w:t>
      </w:r>
      <w:r w:rsidRPr="007C72A8">
        <w:rPr>
          <w:rFonts w:ascii="Calibri" w:eastAsia="Calibri" w:hAnsi="Calibri" w:cs="Consolas"/>
          <w:sz w:val="22"/>
          <w:szCs w:val="21"/>
          <w:lang w:eastAsia="en-US"/>
        </w:rPr>
        <w:t>για την αποτελεσματική καταπολέμηση της φοροδιαφυγής και της αδήλωτης εργασί</w:t>
      </w:r>
      <w:r w:rsidR="00C8002D" w:rsidRPr="007C72A8">
        <w:rPr>
          <w:rFonts w:ascii="Calibri" w:eastAsia="Calibri" w:hAnsi="Calibri" w:cs="Consolas"/>
          <w:sz w:val="22"/>
          <w:szCs w:val="21"/>
          <w:lang w:eastAsia="en-US"/>
        </w:rPr>
        <w:t>ας, σε συνδυασμό με τη</w:t>
      </w:r>
      <w:r w:rsidRPr="007C72A8">
        <w:rPr>
          <w:rFonts w:ascii="Calibri" w:eastAsia="Calibri" w:hAnsi="Calibri" w:cs="Consolas"/>
          <w:sz w:val="22"/>
          <w:szCs w:val="21"/>
          <w:lang w:eastAsia="en-US"/>
        </w:rPr>
        <w:t xml:space="preserve"> συνολική πολιτική της κυβέρνησης για την ενθάρρυνση νέων επενδύσεων, που ενισχύεται σημαντικά και από το Ταμείο Ανάκαμψης, </w:t>
      </w:r>
      <w:r w:rsidR="00C8002D" w:rsidRPr="007C72A8">
        <w:rPr>
          <w:rFonts w:ascii="Calibri" w:eastAsia="Calibri" w:hAnsi="Calibri" w:cs="Consolas"/>
          <w:sz w:val="22"/>
          <w:szCs w:val="21"/>
          <w:lang w:eastAsia="en-US"/>
        </w:rPr>
        <w:t>αναμένεται</w:t>
      </w:r>
      <w:r w:rsidRPr="007C72A8">
        <w:rPr>
          <w:rFonts w:ascii="Calibri" w:eastAsia="Calibri" w:hAnsi="Calibri" w:cs="Consolas"/>
          <w:sz w:val="22"/>
          <w:szCs w:val="21"/>
          <w:lang w:eastAsia="en-US"/>
        </w:rPr>
        <w:t xml:space="preserve"> ότι θα δημιουργήσουν μόνιμο δημοσιονομικό χώρο από το 2022 και εντεύθεν. Η </w:t>
      </w:r>
      <w:r w:rsidR="006B7F2D">
        <w:rPr>
          <w:rFonts w:ascii="Calibri" w:eastAsia="Calibri" w:hAnsi="Calibri" w:cs="Consolas"/>
          <w:sz w:val="22"/>
          <w:szCs w:val="21"/>
          <w:lang w:eastAsia="en-US"/>
        </w:rPr>
        <w:t>δυναμική ανάκαμψη</w:t>
      </w:r>
      <w:r w:rsidRPr="007C72A8">
        <w:rPr>
          <w:rFonts w:ascii="Calibri" w:eastAsia="Calibri" w:hAnsi="Calibri" w:cs="Consolas"/>
          <w:sz w:val="22"/>
          <w:szCs w:val="21"/>
          <w:lang w:eastAsia="en-US"/>
        </w:rPr>
        <w:t xml:space="preserve"> θα επιτρέψει, μετά τη λήξη της πανδημίας, να πετύχει η Ελλάδα </w:t>
      </w:r>
      <w:r w:rsidR="006B7F2D">
        <w:rPr>
          <w:rFonts w:ascii="Calibri" w:eastAsia="Calibri" w:hAnsi="Calibri" w:cs="Consolas"/>
          <w:sz w:val="22"/>
          <w:szCs w:val="21"/>
          <w:lang w:eastAsia="en-US"/>
        </w:rPr>
        <w:t xml:space="preserve">μια σημαντική δημοσιονομική βελτίωση </w:t>
      </w:r>
      <w:r w:rsidRPr="007C72A8">
        <w:rPr>
          <w:rFonts w:ascii="Calibri" w:eastAsia="Calibri" w:hAnsi="Calibri" w:cs="Consolas"/>
          <w:sz w:val="22"/>
          <w:szCs w:val="21"/>
          <w:lang w:eastAsia="en-US"/>
        </w:rPr>
        <w:t>το 2021</w:t>
      </w:r>
      <w:r w:rsidR="006B7F2D">
        <w:rPr>
          <w:rFonts w:ascii="Calibri" w:eastAsia="Calibri" w:hAnsi="Calibri" w:cs="Consolas"/>
          <w:sz w:val="22"/>
          <w:szCs w:val="21"/>
          <w:lang w:eastAsia="en-US"/>
        </w:rPr>
        <w:t xml:space="preserve">, </w:t>
      </w:r>
      <w:r w:rsidRPr="007C72A8">
        <w:rPr>
          <w:rFonts w:ascii="Calibri" w:eastAsia="Calibri" w:hAnsi="Calibri" w:cs="Consolas"/>
          <w:sz w:val="22"/>
          <w:szCs w:val="21"/>
          <w:lang w:eastAsia="en-US"/>
        </w:rPr>
        <w:t>και να εισέλθει στη συνέχεια</w:t>
      </w:r>
      <w:r w:rsidR="006B7F2D">
        <w:rPr>
          <w:rFonts w:ascii="Calibri" w:eastAsia="Calibri" w:hAnsi="Calibri" w:cs="Consolas"/>
          <w:sz w:val="22"/>
          <w:szCs w:val="21"/>
          <w:lang w:eastAsia="en-US"/>
        </w:rPr>
        <w:t>,</w:t>
      </w:r>
      <w:r w:rsidRPr="007C72A8">
        <w:rPr>
          <w:rFonts w:ascii="Calibri" w:eastAsia="Calibri" w:hAnsi="Calibri" w:cs="Consolas"/>
          <w:sz w:val="22"/>
          <w:szCs w:val="21"/>
          <w:lang w:eastAsia="en-US"/>
        </w:rPr>
        <w:t xml:space="preserve"> με τη βοήθεια των μεταρρυθμίσεων που υλοποιούνται</w:t>
      </w:r>
      <w:r w:rsidR="006B7F2D">
        <w:rPr>
          <w:rFonts w:ascii="Calibri" w:eastAsia="Calibri" w:hAnsi="Calibri" w:cs="Consolas"/>
          <w:sz w:val="22"/>
          <w:szCs w:val="21"/>
          <w:lang w:eastAsia="en-US"/>
        </w:rPr>
        <w:t>,</w:t>
      </w:r>
      <w:r w:rsidR="00C8002D" w:rsidRPr="007C72A8">
        <w:rPr>
          <w:rFonts w:ascii="Calibri" w:eastAsia="Calibri" w:hAnsi="Calibri" w:cs="Consolas"/>
          <w:sz w:val="22"/>
          <w:szCs w:val="21"/>
          <w:lang w:eastAsia="en-US"/>
        </w:rPr>
        <w:t xml:space="preserve"> σε τροχιά</w:t>
      </w:r>
      <w:r w:rsidRPr="007C72A8">
        <w:rPr>
          <w:rFonts w:ascii="Calibri" w:eastAsia="Calibri" w:hAnsi="Calibri" w:cs="Consolas"/>
          <w:sz w:val="22"/>
          <w:szCs w:val="21"/>
          <w:lang w:eastAsia="en-US"/>
        </w:rPr>
        <w:t xml:space="preserve"> εξάλειψης του επενδυτικού κενού, περιορισμού της ανεργίας και μείωσης του φορολογικού και ασφαλιστικού βάρους</w:t>
      </w:r>
      <w:r w:rsidR="00933755" w:rsidRPr="00933755">
        <w:rPr>
          <w:rFonts w:ascii="Calibri" w:eastAsia="Calibri" w:hAnsi="Calibri" w:cs="Consolas"/>
          <w:sz w:val="22"/>
          <w:szCs w:val="21"/>
          <w:lang w:eastAsia="en-US"/>
        </w:rPr>
        <w:t xml:space="preserve"> </w:t>
      </w:r>
      <w:r w:rsidR="00933755">
        <w:rPr>
          <w:rFonts w:ascii="Calibri" w:eastAsia="Calibri" w:hAnsi="Calibri" w:cs="Consolas"/>
          <w:sz w:val="22"/>
          <w:szCs w:val="21"/>
          <w:lang w:eastAsia="en-US"/>
        </w:rPr>
        <w:t>και εισόδου</w:t>
      </w:r>
      <w:r w:rsidRPr="007C72A8">
        <w:rPr>
          <w:rFonts w:ascii="Calibri" w:eastAsia="Calibri" w:hAnsi="Calibri" w:cs="Consolas"/>
          <w:sz w:val="22"/>
          <w:szCs w:val="21"/>
          <w:lang w:eastAsia="en-US"/>
        </w:rPr>
        <w:t xml:space="preserve"> σε έναν ενάρετο μακροχρόνιο κύκλο υψηλής, διατηρήσιμης, έξυπνης και πράσινης οικονομικής ανάπτυξης και αυξανόμενης κοινωνικής ευημερίας.</w:t>
      </w:r>
    </w:p>
    <w:p w:rsidR="000A1A50" w:rsidRPr="007C72A8" w:rsidRDefault="000A1A50" w:rsidP="000A1A50">
      <w:pPr>
        <w:jc w:val="both"/>
        <w:rPr>
          <w:rFonts w:ascii="Calibri" w:eastAsia="Calibri" w:hAnsi="Calibri" w:cs="Consolas"/>
          <w:sz w:val="22"/>
          <w:szCs w:val="21"/>
          <w:lang w:eastAsia="en-US"/>
        </w:rPr>
      </w:pPr>
    </w:p>
    <w:p w:rsidR="00844F9A" w:rsidRPr="006B0CB2" w:rsidRDefault="00844F9A" w:rsidP="00FF174C">
      <w:pPr>
        <w:spacing w:line="288" w:lineRule="auto"/>
        <w:jc w:val="both"/>
        <w:rPr>
          <w:rFonts w:ascii="Calibri" w:eastAsia="Calibri" w:hAnsi="Calibri" w:cs="Consolas"/>
          <w:sz w:val="22"/>
          <w:szCs w:val="21"/>
          <w:lang w:eastAsia="en-US"/>
        </w:rPr>
      </w:pPr>
    </w:p>
    <w:p w:rsidR="00844F9A" w:rsidRPr="006B0CB2" w:rsidRDefault="00844F9A" w:rsidP="00FF174C">
      <w:pPr>
        <w:spacing w:line="288" w:lineRule="auto"/>
        <w:jc w:val="both"/>
        <w:rPr>
          <w:rFonts w:ascii="Calibri" w:eastAsia="Calibri" w:hAnsi="Calibri" w:cs="Consolas"/>
          <w:sz w:val="22"/>
          <w:szCs w:val="21"/>
          <w:lang w:eastAsia="en-US"/>
        </w:rPr>
      </w:pPr>
    </w:p>
    <w:p w:rsidR="00FF174C" w:rsidRPr="00844F9A" w:rsidRDefault="003F1DF0" w:rsidP="00FF174C">
      <w:pPr>
        <w:spacing w:line="288" w:lineRule="auto"/>
        <w:rPr>
          <w:rFonts w:ascii="Calibri" w:eastAsia="Calibri" w:hAnsi="Calibri" w:cs="Consolas"/>
          <w:sz w:val="22"/>
          <w:szCs w:val="21"/>
          <w:lang w:eastAsia="en-US"/>
        </w:rPr>
      </w:pPr>
      <w:r w:rsidRPr="00844F9A">
        <w:rPr>
          <w:rFonts w:ascii="Calibri" w:eastAsia="Calibri" w:hAnsi="Calibri" w:cs="Consolas"/>
          <w:sz w:val="22"/>
          <w:szCs w:val="21"/>
          <w:lang w:eastAsia="en-US"/>
        </w:rPr>
        <w:t xml:space="preserve">  </w:t>
      </w:r>
      <w:r w:rsidR="00FF174C" w:rsidRPr="00844F9A">
        <w:rPr>
          <w:rFonts w:ascii="Calibri" w:eastAsia="Calibri" w:hAnsi="Calibri" w:cs="Consolas"/>
          <w:sz w:val="22"/>
          <w:szCs w:val="21"/>
          <w:lang w:eastAsia="en-US"/>
        </w:rPr>
        <w:t xml:space="preserve">Χρήστος </w:t>
      </w:r>
      <w:proofErr w:type="spellStart"/>
      <w:r w:rsidR="00FF174C" w:rsidRPr="00844F9A">
        <w:rPr>
          <w:rFonts w:ascii="Calibri" w:eastAsia="Calibri" w:hAnsi="Calibri" w:cs="Consolas"/>
          <w:sz w:val="22"/>
          <w:szCs w:val="21"/>
          <w:lang w:eastAsia="en-US"/>
        </w:rPr>
        <w:t>Σταϊκούρας</w:t>
      </w:r>
      <w:proofErr w:type="spellEnd"/>
      <w:r w:rsidR="00FF174C" w:rsidRPr="00844F9A">
        <w:rPr>
          <w:rFonts w:ascii="Calibri" w:eastAsia="Calibri" w:hAnsi="Calibri" w:cs="Consolas"/>
          <w:sz w:val="22"/>
          <w:szCs w:val="21"/>
          <w:lang w:eastAsia="en-US"/>
        </w:rPr>
        <w:tab/>
      </w:r>
      <w:r w:rsidR="00FF174C" w:rsidRPr="00844F9A">
        <w:rPr>
          <w:rFonts w:ascii="Calibri" w:eastAsia="Calibri" w:hAnsi="Calibri" w:cs="Consolas"/>
          <w:sz w:val="22"/>
          <w:szCs w:val="21"/>
          <w:lang w:eastAsia="en-US"/>
        </w:rPr>
        <w:tab/>
      </w:r>
      <w:r w:rsidR="00FF174C" w:rsidRPr="00844F9A">
        <w:rPr>
          <w:rFonts w:ascii="Calibri" w:eastAsia="Calibri" w:hAnsi="Calibri" w:cs="Consolas"/>
          <w:sz w:val="22"/>
          <w:szCs w:val="21"/>
          <w:lang w:eastAsia="en-US"/>
        </w:rPr>
        <w:tab/>
      </w:r>
      <w:r w:rsidR="00FF174C" w:rsidRPr="00844F9A">
        <w:rPr>
          <w:rFonts w:ascii="Calibri" w:eastAsia="Calibri" w:hAnsi="Calibri" w:cs="Consolas"/>
          <w:sz w:val="22"/>
          <w:szCs w:val="21"/>
          <w:lang w:eastAsia="en-US"/>
        </w:rPr>
        <w:tab/>
      </w:r>
      <w:r w:rsidR="00FF174C" w:rsidRPr="00844F9A">
        <w:rPr>
          <w:rFonts w:ascii="Calibri" w:eastAsia="Calibri" w:hAnsi="Calibri" w:cs="Consolas"/>
          <w:sz w:val="22"/>
          <w:szCs w:val="21"/>
          <w:lang w:eastAsia="en-US"/>
        </w:rPr>
        <w:tab/>
        <w:t xml:space="preserve">     </w:t>
      </w:r>
      <w:r w:rsidR="00FF174C" w:rsidRPr="00844F9A">
        <w:rPr>
          <w:rFonts w:ascii="Calibri" w:eastAsia="Calibri" w:hAnsi="Calibri" w:cs="Consolas"/>
          <w:sz w:val="22"/>
          <w:szCs w:val="21"/>
          <w:lang w:eastAsia="en-US"/>
        </w:rPr>
        <w:tab/>
        <w:t xml:space="preserve">   Θόδωρος </w:t>
      </w:r>
      <w:proofErr w:type="spellStart"/>
      <w:r w:rsidR="00FF174C" w:rsidRPr="00844F9A">
        <w:rPr>
          <w:rFonts w:ascii="Calibri" w:eastAsia="Calibri" w:hAnsi="Calibri" w:cs="Consolas"/>
          <w:sz w:val="22"/>
          <w:szCs w:val="21"/>
          <w:lang w:eastAsia="en-US"/>
        </w:rPr>
        <w:t>Σκυλακάκης</w:t>
      </w:r>
      <w:proofErr w:type="spellEnd"/>
    </w:p>
    <w:p w:rsidR="00FF174C" w:rsidRPr="00844F9A" w:rsidRDefault="00FF174C" w:rsidP="00FF174C">
      <w:pPr>
        <w:spacing w:line="288" w:lineRule="auto"/>
        <w:rPr>
          <w:rFonts w:ascii="Calibri" w:eastAsia="Calibri" w:hAnsi="Calibri" w:cs="Consolas"/>
          <w:sz w:val="22"/>
          <w:szCs w:val="21"/>
          <w:lang w:eastAsia="en-US"/>
        </w:rPr>
      </w:pPr>
      <w:r w:rsidRPr="00844F9A">
        <w:rPr>
          <w:rFonts w:ascii="Calibri" w:eastAsia="Calibri" w:hAnsi="Calibri" w:cs="Consolas"/>
          <w:sz w:val="22"/>
          <w:szCs w:val="21"/>
          <w:lang w:eastAsia="en-US"/>
        </w:rPr>
        <w:t>Υπουργός Οικονομικών</w:t>
      </w:r>
      <w:r w:rsidRPr="00844F9A">
        <w:rPr>
          <w:rFonts w:ascii="Calibri" w:eastAsia="Calibri" w:hAnsi="Calibri" w:cs="Consolas"/>
          <w:sz w:val="22"/>
          <w:szCs w:val="21"/>
          <w:lang w:eastAsia="en-US"/>
        </w:rPr>
        <w:tab/>
      </w:r>
      <w:r w:rsidRPr="00844F9A">
        <w:rPr>
          <w:rFonts w:ascii="Calibri" w:eastAsia="Calibri" w:hAnsi="Calibri" w:cs="Consolas"/>
          <w:sz w:val="22"/>
          <w:szCs w:val="21"/>
          <w:lang w:eastAsia="en-US"/>
        </w:rPr>
        <w:tab/>
      </w:r>
      <w:r w:rsidRPr="00844F9A">
        <w:rPr>
          <w:rFonts w:ascii="Calibri" w:eastAsia="Calibri" w:hAnsi="Calibri" w:cs="Consolas"/>
          <w:sz w:val="22"/>
          <w:szCs w:val="21"/>
          <w:lang w:eastAsia="en-US"/>
        </w:rPr>
        <w:tab/>
      </w:r>
      <w:r w:rsidRPr="00844F9A">
        <w:rPr>
          <w:rFonts w:ascii="Calibri" w:eastAsia="Calibri" w:hAnsi="Calibri" w:cs="Consolas"/>
          <w:sz w:val="22"/>
          <w:szCs w:val="21"/>
          <w:lang w:eastAsia="en-US"/>
        </w:rPr>
        <w:tab/>
      </w:r>
      <w:r w:rsidRPr="00844F9A">
        <w:rPr>
          <w:rFonts w:ascii="Calibri" w:eastAsia="Calibri" w:hAnsi="Calibri" w:cs="Consolas"/>
          <w:sz w:val="22"/>
          <w:szCs w:val="21"/>
          <w:lang w:eastAsia="en-US"/>
        </w:rPr>
        <w:tab/>
      </w:r>
      <w:r w:rsidR="00844F9A">
        <w:rPr>
          <w:rFonts w:ascii="Calibri" w:eastAsia="Calibri" w:hAnsi="Calibri" w:cs="Consolas"/>
          <w:sz w:val="22"/>
          <w:szCs w:val="21"/>
          <w:lang w:eastAsia="en-US"/>
        </w:rPr>
        <w:t xml:space="preserve">   Αναπληρωτής Υπουργός </w:t>
      </w:r>
      <w:r w:rsidRPr="00844F9A">
        <w:rPr>
          <w:rFonts w:ascii="Calibri" w:eastAsia="Calibri" w:hAnsi="Calibri" w:cs="Consolas"/>
          <w:sz w:val="22"/>
          <w:szCs w:val="21"/>
          <w:lang w:eastAsia="en-US"/>
        </w:rPr>
        <w:t xml:space="preserve"> Οικονομικών</w:t>
      </w:r>
    </w:p>
    <w:p w:rsidR="00FF174C" w:rsidRPr="00E643AA" w:rsidRDefault="00FF174C" w:rsidP="00FF174C">
      <w:pPr>
        <w:spacing w:after="200" w:line="276" w:lineRule="auto"/>
        <w:rPr>
          <w:rFonts w:ascii="Calibri" w:eastAsia="Calibri" w:hAnsi="Calibri"/>
          <w:strike/>
          <w:sz w:val="22"/>
          <w:szCs w:val="22"/>
          <w:lang w:eastAsia="en-US"/>
        </w:rPr>
      </w:pPr>
    </w:p>
    <w:p w:rsidR="006530D2" w:rsidRPr="00E643AA" w:rsidRDefault="006530D2" w:rsidP="000E7FE0">
      <w:pPr>
        <w:spacing w:after="200" w:line="276" w:lineRule="auto"/>
        <w:jc w:val="both"/>
        <w:rPr>
          <w:rFonts w:ascii="Calibri" w:eastAsia="Calibri" w:hAnsi="Calibri"/>
          <w:strike/>
          <w:sz w:val="22"/>
          <w:szCs w:val="22"/>
          <w:lang w:eastAsia="en-US"/>
        </w:rPr>
      </w:pPr>
    </w:p>
    <w:p w:rsidR="006530D2" w:rsidRPr="00E643AA" w:rsidRDefault="006530D2" w:rsidP="000E7FE0">
      <w:pPr>
        <w:spacing w:after="200" w:line="276" w:lineRule="auto"/>
        <w:jc w:val="both"/>
        <w:rPr>
          <w:rFonts w:ascii="Calibri" w:eastAsia="Calibri" w:hAnsi="Calibri"/>
          <w:strike/>
          <w:sz w:val="22"/>
          <w:szCs w:val="22"/>
          <w:lang w:eastAsia="en-US"/>
        </w:rPr>
      </w:pPr>
    </w:p>
    <w:p w:rsidR="003B594D" w:rsidRPr="00E643AA" w:rsidRDefault="003B594D">
      <w:pPr>
        <w:rPr>
          <w:b/>
          <w:strike/>
        </w:rPr>
      </w:pPr>
    </w:p>
    <w:p w:rsidR="00953FD4" w:rsidRPr="00E643AA" w:rsidRDefault="00953FD4">
      <w:pPr>
        <w:rPr>
          <w:b/>
          <w:strike/>
        </w:rPr>
      </w:pPr>
    </w:p>
    <w:p w:rsidR="00953FD4" w:rsidRPr="00E643AA" w:rsidRDefault="00953FD4">
      <w:pPr>
        <w:rPr>
          <w:b/>
          <w:strike/>
        </w:rPr>
      </w:pPr>
    </w:p>
    <w:p w:rsidR="004213BC" w:rsidRPr="00E643AA" w:rsidRDefault="004213BC">
      <w:pPr>
        <w:rPr>
          <w:b/>
          <w:strike/>
        </w:rPr>
      </w:pPr>
    </w:p>
    <w:p w:rsidR="004213BC" w:rsidRPr="00E643AA" w:rsidRDefault="004213BC">
      <w:pPr>
        <w:rPr>
          <w:b/>
          <w:strike/>
        </w:rPr>
      </w:pPr>
    </w:p>
    <w:p w:rsidR="00953FD4" w:rsidRPr="00E643AA" w:rsidRDefault="00953FD4">
      <w:pPr>
        <w:rPr>
          <w:b/>
          <w:strike/>
        </w:rPr>
      </w:pPr>
      <w:r w:rsidRPr="00E643AA">
        <w:rPr>
          <w:b/>
          <w:strike/>
        </w:rPr>
        <w:br w:type="page"/>
      </w:r>
    </w:p>
    <w:p w:rsidR="00953FD4" w:rsidRPr="00E643AA" w:rsidRDefault="00953FD4" w:rsidP="00953FD4">
      <w:pPr>
        <w:jc w:val="both"/>
        <w:rPr>
          <w:rFonts w:ascii="Arial" w:hAnsi="Arial"/>
          <w:strike/>
          <w:sz w:val="22"/>
          <w:szCs w:val="20"/>
        </w:rPr>
      </w:pPr>
    </w:p>
    <w:p w:rsidR="00953FD4" w:rsidRPr="00844F9A" w:rsidRDefault="00953FD4" w:rsidP="00953FD4">
      <w:pPr>
        <w:keepNext/>
        <w:jc w:val="center"/>
        <w:outlineLvl w:val="0"/>
        <w:rPr>
          <w:rFonts w:ascii="Arial Narrow" w:hAnsi="Arial Narrow"/>
          <w:color w:val="000080"/>
          <w:sz w:val="44"/>
          <w:szCs w:val="20"/>
        </w:rPr>
      </w:pPr>
      <w:r w:rsidRPr="00844F9A">
        <w:rPr>
          <w:rFonts w:ascii="Arial Narrow" w:hAnsi="Arial Narrow"/>
          <w:color w:val="000080"/>
          <w:sz w:val="44"/>
          <w:szCs w:val="20"/>
        </w:rPr>
        <w:t>Π ε ρ ι ε χ ό μ ε ν α</w:t>
      </w:r>
    </w:p>
    <w:p w:rsidR="00953FD4" w:rsidRPr="00844F9A" w:rsidRDefault="00953FD4" w:rsidP="00953FD4">
      <w:pPr>
        <w:jc w:val="both"/>
        <w:rPr>
          <w:rFonts w:ascii="Arial Narrow" w:hAnsi="Arial Narrow"/>
          <w:sz w:val="22"/>
          <w:szCs w:val="20"/>
        </w:rPr>
      </w:pPr>
    </w:p>
    <w:p w:rsidR="00953FD4" w:rsidRPr="00844F9A" w:rsidRDefault="00953FD4" w:rsidP="00953FD4">
      <w:pPr>
        <w:jc w:val="both"/>
        <w:rPr>
          <w:rFonts w:ascii="Arial Narrow" w:hAnsi="Arial Narrow"/>
          <w:sz w:val="22"/>
          <w:szCs w:val="20"/>
        </w:rPr>
      </w:pPr>
    </w:p>
    <w:p w:rsidR="00953FD4" w:rsidRPr="00844F9A" w:rsidRDefault="00953FD4" w:rsidP="00953FD4">
      <w:pPr>
        <w:jc w:val="both"/>
        <w:rPr>
          <w:rFonts w:ascii="Arial Narrow" w:hAnsi="Arial Narrow"/>
          <w:sz w:val="22"/>
          <w:szCs w:val="20"/>
        </w:rPr>
      </w:pPr>
    </w:p>
    <w:p w:rsidR="00953FD4" w:rsidRPr="00844F9A" w:rsidRDefault="00953FD4" w:rsidP="00953FD4">
      <w:pPr>
        <w:jc w:val="both"/>
        <w:rPr>
          <w:rFonts w:ascii="Arial Narrow" w:hAnsi="Arial Narrow"/>
          <w:sz w:val="22"/>
          <w:szCs w:val="20"/>
        </w:rPr>
      </w:pPr>
    </w:p>
    <w:tbl>
      <w:tblPr>
        <w:tblW w:w="0" w:type="auto"/>
        <w:tblLayout w:type="fixed"/>
        <w:tblLook w:val="0000" w:firstRow="0" w:lastRow="0" w:firstColumn="0" w:lastColumn="0" w:noHBand="0" w:noVBand="0"/>
      </w:tblPr>
      <w:tblGrid>
        <w:gridCol w:w="8046"/>
        <w:gridCol w:w="993"/>
      </w:tblGrid>
      <w:tr w:rsidR="00953FD4" w:rsidRPr="00844F9A" w:rsidTr="000048CD">
        <w:tc>
          <w:tcPr>
            <w:tcW w:w="8046" w:type="dxa"/>
          </w:tcPr>
          <w:p w:rsidR="00953FD4" w:rsidRPr="00844F9A" w:rsidRDefault="00953FD4" w:rsidP="00953FD4">
            <w:pPr>
              <w:keepNext/>
              <w:tabs>
                <w:tab w:val="left" w:pos="436"/>
              </w:tabs>
              <w:jc w:val="both"/>
              <w:outlineLvl w:val="1"/>
              <w:rPr>
                <w:rFonts w:ascii="Arial Narrow" w:hAnsi="Arial Narrow"/>
                <w:b/>
                <w:color w:val="000080"/>
                <w:sz w:val="26"/>
                <w:szCs w:val="20"/>
              </w:rPr>
            </w:pPr>
            <w:r w:rsidRPr="00844F9A">
              <w:rPr>
                <w:rFonts w:ascii="Arial Narrow" w:hAnsi="Arial Narrow"/>
                <w:b/>
                <w:color w:val="000080"/>
                <w:sz w:val="26"/>
                <w:szCs w:val="20"/>
              </w:rPr>
              <w:t>Κεφάλαιο 1</w:t>
            </w:r>
          </w:p>
        </w:tc>
        <w:tc>
          <w:tcPr>
            <w:tcW w:w="993" w:type="dxa"/>
            <w:vAlign w:val="bottom"/>
          </w:tcPr>
          <w:p w:rsidR="00953FD4" w:rsidRPr="00844F9A" w:rsidRDefault="00953FD4" w:rsidP="00953FD4">
            <w:pPr>
              <w:tabs>
                <w:tab w:val="left" w:pos="436"/>
              </w:tabs>
              <w:jc w:val="right"/>
              <w:rPr>
                <w:rFonts w:ascii="Arial Narrow" w:hAnsi="Arial Narrow"/>
                <w:color w:val="000080"/>
                <w:sz w:val="26"/>
                <w:szCs w:val="20"/>
              </w:rPr>
            </w:pPr>
          </w:p>
        </w:tc>
      </w:tr>
      <w:tr w:rsidR="00953FD4" w:rsidRPr="00844F9A" w:rsidTr="000048CD">
        <w:tc>
          <w:tcPr>
            <w:tcW w:w="8046" w:type="dxa"/>
          </w:tcPr>
          <w:p w:rsidR="00953FD4" w:rsidRPr="00844F9A" w:rsidRDefault="00953FD4" w:rsidP="00953FD4">
            <w:pPr>
              <w:keepNext/>
              <w:tabs>
                <w:tab w:val="left" w:pos="436"/>
                <w:tab w:val="left" w:leader="dot" w:pos="7655"/>
              </w:tabs>
              <w:jc w:val="both"/>
              <w:outlineLvl w:val="1"/>
              <w:rPr>
                <w:rFonts w:ascii="Arial Narrow" w:hAnsi="Arial Narrow"/>
                <w:b/>
                <w:color w:val="000080"/>
                <w:sz w:val="26"/>
                <w:szCs w:val="20"/>
                <w:lang w:val="en-GB"/>
              </w:rPr>
            </w:pPr>
            <w:r w:rsidRPr="00844F9A">
              <w:rPr>
                <w:rFonts w:ascii="Arial Narrow" w:hAnsi="Arial Narrow"/>
                <w:b/>
                <w:color w:val="000080"/>
                <w:sz w:val="26"/>
                <w:szCs w:val="20"/>
              </w:rPr>
              <w:t>Οικονομικές εξελίξεις και προοπτικές</w:t>
            </w:r>
            <w:r w:rsidRPr="00844F9A">
              <w:rPr>
                <w:rFonts w:ascii="Arial Narrow" w:hAnsi="Arial Narrow"/>
                <w:b/>
                <w:color w:val="000080"/>
                <w:sz w:val="26"/>
                <w:szCs w:val="20"/>
                <w:lang w:val="en-GB"/>
              </w:rPr>
              <w:tab/>
            </w:r>
          </w:p>
        </w:tc>
        <w:tc>
          <w:tcPr>
            <w:tcW w:w="993" w:type="dxa"/>
            <w:vAlign w:val="bottom"/>
          </w:tcPr>
          <w:p w:rsidR="00953FD4" w:rsidRPr="00844F9A" w:rsidRDefault="003C2D04" w:rsidP="00953FD4">
            <w:pPr>
              <w:keepNext/>
              <w:tabs>
                <w:tab w:val="left" w:pos="436"/>
              </w:tabs>
              <w:jc w:val="right"/>
              <w:outlineLvl w:val="1"/>
              <w:rPr>
                <w:rFonts w:ascii="Arial Narrow" w:hAnsi="Arial Narrow"/>
                <w:b/>
                <w:color w:val="000080"/>
                <w:sz w:val="26"/>
                <w:szCs w:val="20"/>
              </w:rPr>
            </w:pPr>
            <w:r w:rsidRPr="00844F9A">
              <w:rPr>
                <w:rFonts w:ascii="Arial Narrow" w:hAnsi="Arial Narrow"/>
                <w:b/>
                <w:color w:val="000080"/>
                <w:sz w:val="26"/>
                <w:szCs w:val="20"/>
              </w:rPr>
              <w:t>7</w:t>
            </w:r>
          </w:p>
        </w:tc>
      </w:tr>
      <w:tr w:rsidR="00953FD4" w:rsidRPr="00844F9A" w:rsidTr="000048CD">
        <w:tc>
          <w:tcPr>
            <w:tcW w:w="8046" w:type="dxa"/>
          </w:tcPr>
          <w:p w:rsidR="00953FD4" w:rsidRPr="00844F9A" w:rsidRDefault="00953FD4" w:rsidP="00953FD4">
            <w:pPr>
              <w:tabs>
                <w:tab w:val="left" w:pos="436"/>
                <w:tab w:val="left" w:leader="dot" w:pos="7655"/>
              </w:tabs>
              <w:jc w:val="both"/>
              <w:rPr>
                <w:rFonts w:ascii="Arial Narrow" w:hAnsi="Arial Narrow"/>
                <w:sz w:val="18"/>
                <w:szCs w:val="20"/>
              </w:rPr>
            </w:pPr>
          </w:p>
        </w:tc>
        <w:tc>
          <w:tcPr>
            <w:tcW w:w="993" w:type="dxa"/>
            <w:vAlign w:val="bottom"/>
          </w:tcPr>
          <w:p w:rsidR="00953FD4" w:rsidRPr="00844F9A" w:rsidRDefault="00953FD4" w:rsidP="00953FD4">
            <w:pPr>
              <w:tabs>
                <w:tab w:val="left" w:pos="436"/>
              </w:tabs>
              <w:jc w:val="right"/>
              <w:rPr>
                <w:rFonts w:ascii="Arial Narrow" w:hAnsi="Arial Narrow"/>
                <w:sz w:val="18"/>
                <w:szCs w:val="20"/>
              </w:rPr>
            </w:pPr>
          </w:p>
        </w:tc>
      </w:tr>
      <w:tr w:rsidR="00953FD4" w:rsidRPr="00844F9A" w:rsidTr="000048CD">
        <w:tc>
          <w:tcPr>
            <w:tcW w:w="8046" w:type="dxa"/>
            <w:shd w:val="clear" w:color="auto" w:fill="auto"/>
          </w:tcPr>
          <w:p w:rsidR="00953FD4" w:rsidRPr="00844F9A" w:rsidRDefault="00953FD4" w:rsidP="00A2358F">
            <w:pPr>
              <w:keepNext/>
              <w:widowControl w:val="0"/>
              <w:tabs>
                <w:tab w:val="left" w:pos="436"/>
                <w:tab w:val="left" w:leader="dot" w:pos="7655"/>
              </w:tabs>
              <w:jc w:val="both"/>
              <w:outlineLvl w:val="1"/>
              <w:rPr>
                <w:rFonts w:ascii="Arial Narrow" w:hAnsi="Arial Narrow"/>
                <w:sz w:val="22"/>
                <w:szCs w:val="20"/>
              </w:rPr>
            </w:pPr>
            <w:r w:rsidRPr="00844F9A">
              <w:rPr>
                <w:rFonts w:ascii="Arial Narrow" w:hAnsi="Arial Narrow"/>
                <w:sz w:val="22"/>
                <w:szCs w:val="20"/>
              </w:rPr>
              <w:t>1.</w:t>
            </w:r>
            <w:r w:rsidRPr="00844F9A">
              <w:rPr>
                <w:rFonts w:ascii="Arial Narrow" w:hAnsi="Arial Narrow"/>
                <w:sz w:val="22"/>
                <w:szCs w:val="20"/>
              </w:rPr>
              <w:tab/>
            </w:r>
            <w:r w:rsidR="00A2358F" w:rsidRPr="00844F9A">
              <w:rPr>
                <w:rFonts w:ascii="Arial Narrow" w:hAnsi="Arial Narrow"/>
                <w:sz w:val="22"/>
                <w:szCs w:val="20"/>
              </w:rPr>
              <w:t>Μα</w:t>
            </w:r>
            <w:r w:rsidR="00844F9A">
              <w:rPr>
                <w:rFonts w:ascii="Arial Narrow" w:hAnsi="Arial Narrow"/>
                <w:sz w:val="22"/>
                <w:szCs w:val="20"/>
              </w:rPr>
              <w:t>κροοικονομικές εξελίξεις το 2020</w:t>
            </w:r>
            <w:r w:rsidRPr="00844F9A">
              <w:rPr>
                <w:rFonts w:ascii="Arial Narrow" w:hAnsi="Arial Narrow"/>
                <w:sz w:val="22"/>
                <w:szCs w:val="20"/>
              </w:rPr>
              <w:t>.</w:t>
            </w:r>
            <w:r w:rsidRPr="00844F9A">
              <w:rPr>
                <w:rFonts w:ascii="Arial Narrow" w:hAnsi="Arial Narrow"/>
                <w:sz w:val="22"/>
                <w:szCs w:val="20"/>
              </w:rPr>
              <w:tab/>
            </w:r>
          </w:p>
        </w:tc>
        <w:tc>
          <w:tcPr>
            <w:tcW w:w="993" w:type="dxa"/>
            <w:shd w:val="clear" w:color="auto" w:fill="auto"/>
            <w:vAlign w:val="bottom"/>
          </w:tcPr>
          <w:p w:rsidR="00953FD4" w:rsidRPr="00844F9A" w:rsidRDefault="003C2D04" w:rsidP="00953FD4">
            <w:pPr>
              <w:widowControl w:val="0"/>
              <w:tabs>
                <w:tab w:val="left" w:pos="436"/>
              </w:tabs>
              <w:jc w:val="right"/>
              <w:outlineLvl w:val="2"/>
              <w:rPr>
                <w:rFonts w:ascii="Arial Narrow" w:hAnsi="Arial Narrow"/>
                <w:sz w:val="22"/>
                <w:szCs w:val="20"/>
              </w:rPr>
            </w:pPr>
            <w:r w:rsidRPr="00844F9A">
              <w:rPr>
                <w:rFonts w:ascii="Arial Narrow" w:hAnsi="Arial Narrow"/>
                <w:sz w:val="22"/>
                <w:szCs w:val="20"/>
              </w:rPr>
              <w:t>7</w:t>
            </w:r>
          </w:p>
        </w:tc>
      </w:tr>
      <w:tr w:rsidR="00953FD4" w:rsidRPr="00844F9A" w:rsidTr="000048CD">
        <w:tc>
          <w:tcPr>
            <w:tcW w:w="8046" w:type="dxa"/>
            <w:shd w:val="clear" w:color="auto" w:fill="auto"/>
          </w:tcPr>
          <w:p w:rsidR="00953FD4" w:rsidRPr="00844F9A" w:rsidRDefault="00953FD4" w:rsidP="00A2358F">
            <w:pPr>
              <w:keepNext/>
              <w:widowControl w:val="0"/>
              <w:tabs>
                <w:tab w:val="left" w:pos="436"/>
                <w:tab w:val="left" w:leader="dot" w:pos="7655"/>
              </w:tabs>
              <w:jc w:val="both"/>
              <w:outlineLvl w:val="1"/>
              <w:rPr>
                <w:rFonts w:ascii="Arial Narrow" w:hAnsi="Arial Narrow"/>
                <w:sz w:val="22"/>
                <w:szCs w:val="20"/>
              </w:rPr>
            </w:pPr>
            <w:r w:rsidRPr="00844F9A">
              <w:rPr>
                <w:rFonts w:ascii="Arial Narrow" w:hAnsi="Arial Narrow"/>
                <w:sz w:val="22"/>
                <w:szCs w:val="20"/>
              </w:rPr>
              <w:t>2.</w:t>
            </w:r>
            <w:r w:rsidRPr="00844F9A">
              <w:rPr>
                <w:rFonts w:ascii="Arial Narrow" w:hAnsi="Arial Narrow"/>
                <w:sz w:val="22"/>
                <w:szCs w:val="20"/>
              </w:rPr>
              <w:tab/>
            </w:r>
            <w:r w:rsidR="00A2358F" w:rsidRPr="00844F9A">
              <w:rPr>
                <w:rFonts w:ascii="Arial Narrow" w:hAnsi="Arial Narrow"/>
                <w:sz w:val="22"/>
                <w:szCs w:val="20"/>
              </w:rPr>
              <w:t>Νομισματικές και πιστωτικές εξελίξεις στην Ελλάδα</w:t>
            </w:r>
            <w:r w:rsidR="0088646B">
              <w:rPr>
                <w:rFonts w:ascii="Arial Narrow" w:hAnsi="Arial Narrow"/>
                <w:sz w:val="22"/>
                <w:szCs w:val="20"/>
              </w:rPr>
              <w:t xml:space="preserve"> το 2020</w:t>
            </w:r>
            <w:r w:rsidRPr="00844F9A">
              <w:rPr>
                <w:rFonts w:ascii="Arial Narrow" w:hAnsi="Arial Narrow"/>
                <w:sz w:val="22"/>
                <w:szCs w:val="20"/>
              </w:rPr>
              <w:tab/>
            </w:r>
          </w:p>
        </w:tc>
        <w:tc>
          <w:tcPr>
            <w:tcW w:w="993" w:type="dxa"/>
            <w:shd w:val="clear" w:color="auto" w:fill="auto"/>
            <w:vAlign w:val="bottom"/>
          </w:tcPr>
          <w:p w:rsidR="00953FD4" w:rsidRPr="00844F9A" w:rsidRDefault="0088646B" w:rsidP="00953FD4">
            <w:pPr>
              <w:widowControl w:val="0"/>
              <w:tabs>
                <w:tab w:val="left" w:pos="436"/>
              </w:tabs>
              <w:jc w:val="right"/>
              <w:outlineLvl w:val="2"/>
              <w:rPr>
                <w:rFonts w:ascii="Arial Narrow" w:hAnsi="Arial Narrow"/>
                <w:sz w:val="22"/>
                <w:szCs w:val="20"/>
              </w:rPr>
            </w:pPr>
            <w:r>
              <w:rPr>
                <w:rFonts w:ascii="Arial Narrow" w:hAnsi="Arial Narrow"/>
                <w:sz w:val="22"/>
                <w:szCs w:val="20"/>
              </w:rPr>
              <w:t>17</w:t>
            </w:r>
          </w:p>
        </w:tc>
      </w:tr>
      <w:tr w:rsidR="00953FD4" w:rsidRPr="00844F9A" w:rsidTr="000048CD">
        <w:tc>
          <w:tcPr>
            <w:tcW w:w="8046" w:type="dxa"/>
            <w:shd w:val="clear" w:color="auto" w:fill="auto"/>
          </w:tcPr>
          <w:p w:rsidR="00953FD4" w:rsidRPr="00844F9A" w:rsidRDefault="00A2358F" w:rsidP="00A2358F">
            <w:pPr>
              <w:widowControl w:val="0"/>
              <w:tabs>
                <w:tab w:val="left" w:pos="436"/>
                <w:tab w:val="left" w:leader="dot" w:pos="7655"/>
              </w:tabs>
              <w:jc w:val="both"/>
              <w:outlineLvl w:val="2"/>
              <w:rPr>
                <w:rFonts w:ascii="Arial Narrow" w:hAnsi="Arial Narrow"/>
                <w:sz w:val="22"/>
                <w:szCs w:val="20"/>
              </w:rPr>
            </w:pPr>
            <w:r w:rsidRPr="00844F9A">
              <w:rPr>
                <w:rFonts w:ascii="Arial Narrow" w:hAnsi="Arial Narrow"/>
                <w:sz w:val="22"/>
                <w:szCs w:val="20"/>
              </w:rPr>
              <w:t>3.</w:t>
            </w:r>
            <w:r w:rsidR="00953FD4" w:rsidRPr="00844F9A">
              <w:rPr>
                <w:rFonts w:ascii="Arial Narrow" w:hAnsi="Arial Narrow"/>
                <w:sz w:val="22"/>
                <w:szCs w:val="20"/>
              </w:rPr>
              <w:tab/>
            </w:r>
            <w:r w:rsidRPr="00844F9A">
              <w:rPr>
                <w:rFonts w:ascii="Arial Narrow" w:hAnsi="Arial Narrow"/>
                <w:sz w:val="22"/>
                <w:szCs w:val="20"/>
              </w:rPr>
              <w:t>Μακ</w:t>
            </w:r>
            <w:r w:rsidR="00844F9A">
              <w:rPr>
                <w:rFonts w:ascii="Arial Narrow" w:hAnsi="Arial Narrow"/>
                <w:sz w:val="22"/>
                <w:szCs w:val="20"/>
              </w:rPr>
              <w:t>ροοικονομικές προβλέψεις το 2021</w:t>
            </w:r>
            <w:r w:rsidR="00953FD4" w:rsidRPr="00844F9A">
              <w:rPr>
                <w:rFonts w:ascii="Arial Narrow" w:hAnsi="Arial Narrow"/>
                <w:sz w:val="22"/>
                <w:szCs w:val="20"/>
              </w:rPr>
              <w:tab/>
            </w:r>
          </w:p>
        </w:tc>
        <w:tc>
          <w:tcPr>
            <w:tcW w:w="993" w:type="dxa"/>
            <w:shd w:val="clear" w:color="auto" w:fill="auto"/>
            <w:vAlign w:val="bottom"/>
          </w:tcPr>
          <w:p w:rsidR="00953FD4" w:rsidRPr="00844F9A" w:rsidRDefault="009A5E37" w:rsidP="00953FD4">
            <w:pPr>
              <w:widowControl w:val="0"/>
              <w:tabs>
                <w:tab w:val="left" w:pos="436"/>
              </w:tabs>
              <w:jc w:val="right"/>
              <w:outlineLvl w:val="2"/>
              <w:rPr>
                <w:rFonts w:ascii="Arial Narrow" w:hAnsi="Arial Narrow"/>
                <w:sz w:val="22"/>
                <w:szCs w:val="20"/>
              </w:rPr>
            </w:pPr>
            <w:r>
              <w:rPr>
                <w:rFonts w:ascii="Arial Narrow" w:hAnsi="Arial Narrow"/>
                <w:sz w:val="22"/>
                <w:szCs w:val="20"/>
              </w:rPr>
              <w:t>20</w:t>
            </w: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outlineLvl w:val="2"/>
              <w:rPr>
                <w:rFonts w:ascii="Arial Narrow" w:hAnsi="Arial Narrow"/>
                <w:b/>
                <w:color w:val="A6A6A6"/>
                <w:sz w:val="20"/>
                <w:szCs w:val="20"/>
              </w:rPr>
            </w:pPr>
          </w:p>
        </w:tc>
        <w:tc>
          <w:tcPr>
            <w:tcW w:w="993" w:type="dxa"/>
            <w:vAlign w:val="bottom"/>
          </w:tcPr>
          <w:p w:rsidR="00953FD4" w:rsidRPr="00844F9A" w:rsidRDefault="00953FD4" w:rsidP="00953FD4">
            <w:pPr>
              <w:widowControl w:val="0"/>
              <w:tabs>
                <w:tab w:val="left" w:pos="436"/>
              </w:tabs>
              <w:jc w:val="right"/>
              <w:outlineLvl w:val="2"/>
              <w:rPr>
                <w:rFonts w:ascii="Arial Narrow" w:hAnsi="Arial Narrow"/>
                <w:color w:val="A6A6A6"/>
                <w:sz w:val="20"/>
                <w:szCs w:val="20"/>
              </w:rPr>
            </w:pP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outlineLvl w:val="2"/>
              <w:rPr>
                <w:rFonts w:ascii="Arial Narrow" w:hAnsi="Arial Narrow"/>
                <w:b/>
                <w:sz w:val="20"/>
                <w:szCs w:val="20"/>
              </w:rPr>
            </w:pPr>
          </w:p>
        </w:tc>
        <w:tc>
          <w:tcPr>
            <w:tcW w:w="993" w:type="dxa"/>
            <w:vAlign w:val="bottom"/>
          </w:tcPr>
          <w:p w:rsidR="00953FD4" w:rsidRPr="00844F9A" w:rsidRDefault="00953FD4" w:rsidP="00953FD4">
            <w:pPr>
              <w:widowControl w:val="0"/>
              <w:tabs>
                <w:tab w:val="left" w:pos="436"/>
              </w:tabs>
              <w:jc w:val="right"/>
              <w:outlineLvl w:val="2"/>
              <w:rPr>
                <w:rFonts w:ascii="Arial Narrow" w:hAnsi="Arial Narrow"/>
                <w:sz w:val="20"/>
                <w:szCs w:val="20"/>
              </w:rPr>
            </w:pPr>
          </w:p>
        </w:tc>
      </w:tr>
      <w:tr w:rsidR="00953FD4" w:rsidRPr="00844F9A" w:rsidTr="000048CD">
        <w:tc>
          <w:tcPr>
            <w:tcW w:w="8046" w:type="dxa"/>
          </w:tcPr>
          <w:p w:rsidR="00953FD4" w:rsidRPr="00844F9A" w:rsidRDefault="00953FD4" w:rsidP="00953FD4">
            <w:pPr>
              <w:keepNext/>
              <w:tabs>
                <w:tab w:val="left" w:pos="436"/>
                <w:tab w:val="left" w:leader="dot" w:pos="7655"/>
              </w:tabs>
              <w:jc w:val="both"/>
              <w:outlineLvl w:val="1"/>
              <w:rPr>
                <w:rFonts w:ascii="Arial Narrow" w:hAnsi="Arial Narrow"/>
                <w:b/>
                <w:color w:val="000080"/>
                <w:sz w:val="26"/>
                <w:szCs w:val="20"/>
              </w:rPr>
            </w:pPr>
            <w:r w:rsidRPr="00844F9A">
              <w:rPr>
                <w:rFonts w:ascii="Arial Narrow" w:hAnsi="Arial Narrow"/>
                <w:b/>
                <w:color w:val="000080"/>
                <w:sz w:val="26"/>
                <w:szCs w:val="20"/>
              </w:rPr>
              <w:t>Κεφάλαιο 2</w:t>
            </w:r>
          </w:p>
        </w:tc>
        <w:tc>
          <w:tcPr>
            <w:tcW w:w="993" w:type="dxa"/>
            <w:vAlign w:val="bottom"/>
          </w:tcPr>
          <w:p w:rsidR="00953FD4" w:rsidRPr="00844F9A" w:rsidRDefault="00953FD4" w:rsidP="00953FD4">
            <w:pPr>
              <w:tabs>
                <w:tab w:val="left" w:pos="436"/>
              </w:tabs>
              <w:jc w:val="right"/>
              <w:rPr>
                <w:rFonts w:ascii="Arial Narrow" w:hAnsi="Arial Narrow"/>
                <w:color w:val="000080"/>
                <w:sz w:val="26"/>
                <w:szCs w:val="20"/>
              </w:rPr>
            </w:pPr>
          </w:p>
        </w:tc>
      </w:tr>
      <w:tr w:rsidR="00953FD4" w:rsidRPr="00844F9A" w:rsidTr="000048CD">
        <w:tc>
          <w:tcPr>
            <w:tcW w:w="8046" w:type="dxa"/>
          </w:tcPr>
          <w:p w:rsidR="00953FD4" w:rsidRPr="00844F9A" w:rsidRDefault="00953FD4" w:rsidP="00953FD4">
            <w:pPr>
              <w:keepNext/>
              <w:tabs>
                <w:tab w:val="left" w:pos="436"/>
                <w:tab w:val="left" w:leader="dot" w:pos="7655"/>
              </w:tabs>
              <w:jc w:val="both"/>
              <w:outlineLvl w:val="1"/>
              <w:rPr>
                <w:rFonts w:ascii="Arial Narrow" w:hAnsi="Arial Narrow"/>
                <w:b/>
                <w:color w:val="000080"/>
                <w:sz w:val="26"/>
                <w:szCs w:val="20"/>
              </w:rPr>
            </w:pPr>
            <w:r w:rsidRPr="00844F9A">
              <w:rPr>
                <w:rFonts w:ascii="Arial Narrow" w:hAnsi="Arial Narrow"/>
                <w:b/>
                <w:color w:val="000080"/>
                <w:sz w:val="26"/>
                <w:szCs w:val="20"/>
              </w:rPr>
              <w:t>Προϋπολογισμός Γενικής Κυβέρνησης</w:t>
            </w:r>
            <w:r w:rsidRPr="00844F9A">
              <w:rPr>
                <w:rFonts w:ascii="Arial Narrow" w:hAnsi="Arial Narrow"/>
                <w:b/>
                <w:color w:val="000080"/>
                <w:sz w:val="26"/>
                <w:szCs w:val="20"/>
              </w:rPr>
              <w:tab/>
            </w:r>
          </w:p>
        </w:tc>
        <w:tc>
          <w:tcPr>
            <w:tcW w:w="993" w:type="dxa"/>
            <w:vAlign w:val="bottom"/>
          </w:tcPr>
          <w:p w:rsidR="00953FD4" w:rsidRPr="00844F9A" w:rsidRDefault="009A5E37" w:rsidP="00953FD4">
            <w:pPr>
              <w:keepNext/>
              <w:tabs>
                <w:tab w:val="left" w:pos="436"/>
              </w:tabs>
              <w:jc w:val="right"/>
              <w:outlineLvl w:val="1"/>
              <w:rPr>
                <w:rFonts w:ascii="Arial Narrow" w:hAnsi="Arial Narrow"/>
                <w:b/>
                <w:color w:val="000080"/>
                <w:sz w:val="26"/>
                <w:szCs w:val="20"/>
              </w:rPr>
            </w:pPr>
            <w:r>
              <w:rPr>
                <w:rFonts w:ascii="Arial Narrow" w:hAnsi="Arial Narrow"/>
                <w:b/>
                <w:color w:val="000080"/>
                <w:sz w:val="26"/>
                <w:szCs w:val="20"/>
              </w:rPr>
              <w:t>25</w:t>
            </w: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outlineLvl w:val="2"/>
              <w:rPr>
                <w:rFonts w:ascii="Arial Narrow" w:hAnsi="Arial Narrow"/>
                <w:b/>
                <w:sz w:val="20"/>
                <w:szCs w:val="20"/>
              </w:rPr>
            </w:pPr>
          </w:p>
        </w:tc>
        <w:tc>
          <w:tcPr>
            <w:tcW w:w="993" w:type="dxa"/>
            <w:vAlign w:val="bottom"/>
          </w:tcPr>
          <w:p w:rsidR="00953FD4" w:rsidRPr="00844F9A" w:rsidRDefault="00953FD4" w:rsidP="00953FD4">
            <w:pPr>
              <w:widowControl w:val="0"/>
              <w:tabs>
                <w:tab w:val="left" w:pos="436"/>
              </w:tabs>
              <w:jc w:val="right"/>
              <w:outlineLvl w:val="2"/>
              <w:rPr>
                <w:rFonts w:ascii="Arial Narrow" w:hAnsi="Arial Narrow"/>
                <w:sz w:val="20"/>
                <w:szCs w:val="20"/>
              </w:rPr>
            </w:pPr>
          </w:p>
        </w:tc>
      </w:tr>
      <w:tr w:rsidR="00953FD4" w:rsidRPr="00844F9A" w:rsidTr="000048CD">
        <w:tc>
          <w:tcPr>
            <w:tcW w:w="8046" w:type="dxa"/>
            <w:shd w:val="clear" w:color="auto" w:fill="auto"/>
          </w:tcPr>
          <w:p w:rsidR="00953FD4" w:rsidRPr="00844F9A" w:rsidRDefault="00844F9A" w:rsidP="00953FD4">
            <w:pPr>
              <w:keepNext/>
              <w:widowControl w:val="0"/>
              <w:tabs>
                <w:tab w:val="left" w:pos="436"/>
                <w:tab w:val="left" w:leader="dot" w:pos="7655"/>
              </w:tabs>
              <w:jc w:val="both"/>
              <w:outlineLvl w:val="1"/>
              <w:rPr>
                <w:rFonts w:ascii="Arial Narrow" w:hAnsi="Arial Narrow"/>
                <w:sz w:val="22"/>
                <w:szCs w:val="20"/>
              </w:rPr>
            </w:pPr>
            <w:r>
              <w:rPr>
                <w:rFonts w:ascii="Arial Narrow" w:hAnsi="Arial Narrow"/>
                <w:sz w:val="22"/>
                <w:szCs w:val="20"/>
              </w:rPr>
              <w:t>1.</w:t>
            </w:r>
            <w:r>
              <w:rPr>
                <w:rFonts w:ascii="Arial Narrow" w:hAnsi="Arial Narrow"/>
                <w:sz w:val="22"/>
                <w:szCs w:val="20"/>
              </w:rPr>
              <w:tab/>
              <w:t>Εκτιμήσεις 2020</w:t>
            </w:r>
            <w:r w:rsidR="00953FD4" w:rsidRPr="00844F9A">
              <w:rPr>
                <w:rFonts w:ascii="Arial Narrow" w:hAnsi="Arial Narrow"/>
                <w:sz w:val="22"/>
                <w:szCs w:val="20"/>
              </w:rPr>
              <w:tab/>
            </w:r>
          </w:p>
        </w:tc>
        <w:tc>
          <w:tcPr>
            <w:tcW w:w="993" w:type="dxa"/>
            <w:shd w:val="clear" w:color="auto" w:fill="auto"/>
            <w:vAlign w:val="bottom"/>
          </w:tcPr>
          <w:p w:rsidR="00953FD4" w:rsidRPr="00844F9A" w:rsidRDefault="009A5E37" w:rsidP="00953FD4">
            <w:pPr>
              <w:widowControl w:val="0"/>
              <w:tabs>
                <w:tab w:val="left" w:pos="436"/>
              </w:tabs>
              <w:jc w:val="right"/>
              <w:outlineLvl w:val="2"/>
              <w:rPr>
                <w:rFonts w:ascii="Arial Narrow" w:hAnsi="Arial Narrow"/>
                <w:sz w:val="22"/>
                <w:szCs w:val="20"/>
              </w:rPr>
            </w:pPr>
            <w:r>
              <w:rPr>
                <w:rFonts w:ascii="Arial Narrow" w:hAnsi="Arial Narrow"/>
                <w:sz w:val="22"/>
                <w:szCs w:val="20"/>
              </w:rPr>
              <w:t>25</w:t>
            </w:r>
          </w:p>
        </w:tc>
      </w:tr>
      <w:tr w:rsidR="00953FD4" w:rsidRPr="00844F9A" w:rsidTr="000048CD">
        <w:tc>
          <w:tcPr>
            <w:tcW w:w="8046" w:type="dxa"/>
            <w:shd w:val="clear" w:color="auto" w:fill="auto"/>
          </w:tcPr>
          <w:p w:rsidR="00953FD4" w:rsidRPr="00844F9A" w:rsidRDefault="00953FD4" w:rsidP="00533F8A">
            <w:pPr>
              <w:keepNext/>
              <w:widowControl w:val="0"/>
              <w:tabs>
                <w:tab w:val="left" w:pos="436"/>
                <w:tab w:val="left" w:leader="dot" w:pos="7655"/>
              </w:tabs>
              <w:jc w:val="both"/>
              <w:outlineLvl w:val="1"/>
              <w:rPr>
                <w:rFonts w:ascii="Arial Narrow" w:hAnsi="Arial Narrow"/>
                <w:sz w:val="22"/>
                <w:szCs w:val="20"/>
              </w:rPr>
            </w:pPr>
            <w:r w:rsidRPr="00844F9A">
              <w:rPr>
                <w:rFonts w:ascii="Arial Narrow" w:hAnsi="Arial Narrow"/>
                <w:sz w:val="22"/>
                <w:szCs w:val="20"/>
              </w:rPr>
              <w:t>1.1</w:t>
            </w:r>
            <w:r w:rsidRPr="00844F9A">
              <w:rPr>
                <w:rFonts w:ascii="Arial Narrow" w:hAnsi="Arial Narrow"/>
                <w:sz w:val="22"/>
                <w:szCs w:val="20"/>
              </w:rPr>
              <w:tab/>
            </w:r>
            <w:r w:rsidR="00533F8A" w:rsidRPr="00844F9A">
              <w:rPr>
                <w:rFonts w:ascii="Arial Narrow" w:hAnsi="Arial Narrow"/>
                <w:sz w:val="22"/>
                <w:szCs w:val="20"/>
              </w:rPr>
              <w:t>Κρατικός</w:t>
            </w:r>
            <w:r w:rsidRPr="00844F9A">
              <w:rPr>
                <w:rFonts w:ascii="Arial Narrow" w:hAnsi="Arial Narrow"/>
                <w:sz w:val="22"/>
                <w:szCs w:val="20"/>
              </w:rPr>
              <w:t xml:space="preserve"> Προϋπολογισμός</w:t>
            </w:r>
            <w:r w:rsidRPr="00844F9A">
              <w:rPr>
                <w:rFonts w:ascii="Arial Narrow" w:hAnsi="Arial Narrow"/>
                <w:sz w:val="22"/>
                <w:szCs w:val="20"/>
              </w:rPr>
              <w:tab/>
            </w:r>
          </w:p>
        </w:tc>
        <w:tc>
          <w:tcPr>
            <w:tcW w:w="993" w:type="dxa"/>
            <w:shd w:val="clear" w:color="auto" w:fill="auto"/>
            <w:vAlign w:val="bottom"/>
          </w:tcPr>
          <w:p w:rsidR="00953FD4" w:rsidRPr="00844F9A" w:rsidRDefault="009A5E37" w:rsidP="00953FD4">
            <w:pPr>
              <w:widowControl w:val="0"/>
              <w:tabs>
                <w:tab w:val="left" w:pos="436"/>
              </w:tabs>
              <w:jc w:val="right"/>
              <w:outlineLvl w:val="2"/>
              <w:rPr>
                <w:rFonts w:ascii="Arial Narrow" w:hAnsi="Arial Narrow"/>
                <w:sz w:val="22"/>
                <w:szCs w:val="20"/>
              </w:rPr>
            </w:pPr>
            <w:r>
              <w:rPr>
                <w:rFonts w:ascii="Arial Narrow" w:hAnsi="Arial Narrow"/>
                <w:sz w:val="22"/>
                <w:szCs w:val="20"/>
              </w:rPr>
              <w:t>26</w:t>
            </w:r>
          </w:p>
        </w:tc>
      </w:tr>
      <w:tr w:rsidR="00953FD4" w:rsidRPr="00844F9A" w:rsidTr="000048CD">
        <w:tc>
          <w:tcPr>
            <w:tcW w:w="8046" w:type="dxa"/>
            <w:shd w:val="clear" w:color="auto" w:fill="auto"/>
          </w:tcPr>
          <w:p w:rsidR="00953FD4" w:rsidRPr="00844F9A" w:rsidRDefault="00953FD4" w:rsidP="00953FD4">
            <w:pPr>
              <w:keepNext/>
              <w:widowControl w:val="0"/>
              <w:tabs>
                <w:tab w:val="left" w:pos="436"/>
                <w:tab w:val="left" w:leader="dot" w:pos="7655"/>
              </w:tabs>
              <w:jc w:val="both"/>
              <w:outlineLvl w:val="1"/>
              <w:rPr>
                <w:rFonts w:ascii="Arial Narrow" w:hAnsi="Arial Narrow"/>
                <w:sz w:val="22"/>
                <w:szCs w:val="20"/>
              </w:rPr>
            </w:pPr>
            <w:r w:rsidRPr="00844F9A">
              <w:rPr>
                <w:rFonts w:ascii="Arial Narrow" w:hAnsi="Arial Narrow"/>
                <w:sz w:val="22"/>
                <w:szCs w:val="20"/>
              </w:rPr>
              <w:t>1.2</w:t>
            </w:r>
            <w:r w:rsidRPr="00844F9A">
              <w:rPr>
                <w:rFonts w:ascii="Arial Narrow" w:hAnsi="Arial Narrow"/>
                <w:sz w:val="22"/>
                <w:szCs w:val="20"/>
              </w:rPr>
              <w:tab/>
              <w:t>Πρόγραμμα Δημοσίων Επενδύσεων (ΠΔΕ)</w:t>
            </w:r>
            <w:r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36</w:t>
            </w:r>
          </w:p>
        </w:tc>
      </w:tr>
      <w:tr w:rsidR="00953FD4" w:rsidRPr="00844F9A" w:rsidTr="000048CD">
        <w:tc>
          <w:tcPr>
            <w:tcW w:w="8046" w:type="dxa"/>
            <w:shd w:val="clear" w:color="auto" w:fill="auto"/>
          </w:tcPr>
          <w:p w:rsidR="00953FD4" w:rsidRPr="00844F9A" w:rsidRDefault="00953FD4" w:rsidP="00953FD4">
            <w:pPr>
              <w:keepNext/>
              <w:widowControl w:val="0"/>
              <w:tabs>
                <w:tab w:val="left" w:pos="436"/>
                <w:tab w:val="left" w:leader="dot" w:pos="7655"/>
              </w:tabs>
              <w:jc w:val="both"/>
              <w:outlineLvl w:val="1"/>
              <w:rPr>
                <w:rFonts w:ascii="Arial Narrow" w:hAnsi="Arial Narrow"/>
                <w:sz w:val="22"/>
                <w:szCs w:val="20"/>
              </w:rPr>
            </w:pPr>
            <w:r w:rsidRPr="00844F9A">
              <w:rPr>
                <w:rFonts w:ascii="Arial Narrow" w:hAnsi="Arial Narrow"/>
                <w:sz w:val="22"/>
                <w:szCs w:val="20"/>
              </w:rPr>
              <w:t>1.3</w:t>
            </w:r>
            <w:r w:rsidRPr="00844F9A">
              <w:rPr>
                <w:rFonts w:ascii="Arial Narrow" w:hAnsi="Arial Narrow"/>
                <w:sz w:val="22"/>
                <w:szCs w:val="20"/>
              </w:rPr>
              <w:tab/>
              <w:t xml:space="preserve">Λοιποί </w:t>
            </w:r>
            <w:r w:rsidR="00F778F2" w:rsidRPr="00844F9A">
              <w:rPr>
                <w:rFonts w:ascii="Arial Narrow" w:hAnsi="Arial Narrow"/>
                <w:sz w:val="22"/>
                <w:szCs w:val="20"/>
              </w:rPr>
              <w:t>υπο</w:t>
            </w:r>
            <w:r w:rsidRPr="00844F9A">
              <w:rPr>
                <w:rFonts w:ascii="Arial Narrow" w:hAnsi="Arial Narrow"/>
                <w:sz w:val="22"/>
                <w:szCs w:val="20"/>
              </w:rPr>
              <w:t>τομείς Γενικής Κυβέρνησης</w:t>
            </w:r>
            <w:r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36</w:t>
            </w:r>
          </w:p>
        </w:tc>
      </w:tr>
      <w:tr w:rsidR="00953FD4" w:rsidRPr="00844F9A" w:rsidTr="000048CD">
        <w:tc>
          <w:tcPr>
            <w:tcW w:w="8046" w:type="dxa"/>
            <w:shd w:val="clear" w:color="auto" w:fill="auto"/>
          </w:tcPr>
          <w:p w:rsidR="00953FD4" w:rsidRPr="00844F9A" w:rsidRDefault="00A2358F" w:rsidP="00477B5B">
            <w:pPr>
              <w:keepNext/>
              <w:widowControl w:val="0"/>
              <w:tabs>
                <w:tab w:val="left" w:pos="436"/>
                <w:tab w:val="left" w:leader="dot" w:pos="7655"/>
              </w:tabs>
              <w:jc w:val="both"/>
              <w:outlineLvl w:val="1"/>
              <w:rPr>
                <w:rFonts w:ascii="Arial Narrow" w:hAnsi="Arial Narrow"/>
                <w:sz w:val="22"/>
                <w:szCs w:val="20"/>
              </w:rPr>
            </w:pPr>
            <w:r w:rsidRPr="00844F9A">
              <w:rPr>
                <w:rFonts w:ascii="Arial Narrow" w:hAnsi="Arial Narrow"/>
                <w:sz w:val="22"/>
                <w:szCs w:val="20"/>
              </w:rPr>
              <w:t>1.4</w:t>
            </w:r>
            <w:r w:rsidR="00953FD4" w:rsidRPr="00844F9A">
              <w:rPr>
                <w:rFonts w:ascii="Arial Narrow" w:hAnsi="Arial Narrow"/>
                <w:sz w:val="22"/>
                <w:szCs w:val="20"/>
              </w:rPr>
              <w:tab/>
            </w:r>
            <w:r w:rsidR="00477B5B">
              <w:rPr>
                <w:rFonts w:ascii="Arial Narrow" w:hAnsi="Arial Narrow"/>
                <w:sz w:val="22"/>
                <w:szCs w:val="20"/>
              </w:rPr>
              <w:t>Ληξιπρόθεσμες οφειλές Γενικής Κυβέρνησης προς τρίτους</w:t>
            </w:r>
            <w:r w:rsidR="00953FD4"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keepNext/>
              <w:widowControl w:val="0"/>
              <w:tabs>
                <w:tab w:val="left" w:pos="436"/>
                <w:tab w:val="left" w:leader="dot" w:pos="7655"/>
              </w:tabs>
              <w:jc w:val="right"/>
              <w:outlineLvl w:val="1"/>
              <w:rPr>
                <w:rFonts w:ascii="Arial Narrow" w:hAnsi="Arial Narrow"/>
                <w:sz w:val="22"/>
                <w:szCs w:val="20"/>
              </w:rPr>
            </w:pPr>
            <w:r>
              <w:rPr>
                <w:rFonts w:ascii="Arial Narrow" w:hAnsi="Arial Narrow"/>
                <w:sz w:val="22"/>
                <w:szCs w:val="20"/>
              </w:rPr>
              <w:t>38</w:t>
            </w:r>
          </w:p>
        </w:tc>
      </w:tr>
      <w:tr w:rsidR="00953FD4" w:rsidRPr="00844F9A" w:rsidTr="000048CD">
        <w:tc>
          <w:tcPr>
            <w:tcW w:w="8046" w:type="dxa"/>
            <w:shd w:val="clear" w:color="auto" w:fill="auto"/>
          </w:tcPr>
          <w:p w:rsidR="00953FD4" w:rsidRPr="00844F9A" w:rsidRDefault="006B0CB2" w:rsidP="00953FD4">
            <w:pPr>
              <w:keepNext/>
              <w:widowControl w:val="0"/>
              <w:tabs>
                <w:tab w:val="left" w:pos="436"/>
                <w:tab w:val="left" w:leader="dot" w:pos="7655"/>
              </w:tabs>
              <w:jc w:val="both"/>
              <w:outlineLvl w:val="1"/>
              <w:rPr>
                <w:rFonts w:ascii="Arial Narrow" w:hAnsi="Arial Narrow"/>
                <w:sz w:val="22"/>
                <w:szCs w:val="20"/>
              </w:rPr>
            </w:pPr>
            <w:r>
              <w:rPr>
                <w:rFonts w:ascii="Arial Narrow" w:hAnsi="Arial Narrow"/>
                <w:sz w:val="22"/>
                <w:szCs w:val="20"/>
              </w:rPr>
              <w:t>2.</w:t>
            </w:r>
            <w:r>
              <w:rPr>
                <w:rFonts w:ascii="Arial Narrow" w:hAnsi="Arial Narrow"/>
                <w:sz w:val="22"/>
                <w:szCs w:val="20"/>
              </w:rPr>
              <w:tab/>
              <w:t>Προβλέψεις 2021</w:t>
            </w:r>
            <w:r w:rsidR="00953FD4"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41</w:t>
            </w:r>
          </w:p>
        </w:tc>
      </w:tr>
      <w:tr w:rsidR="00953FD4" w:rsidRPr="00844F9A" w:rsidTr="000048CD">
        <w:tc>
          <w:tcPr>
            <w:tcW w:w="8046" w:type="dxa"/>
            <w:shd w:val="clear" w:color="auto" w:fill="auto"/>
          </w:tcPr>
          <w:p w:rsidR="00953FD4" w:rsidRPr="00844F9A" w:rsidRDefault="00844F9A" w:rsidP="00533F8A">
            <w:pPr>
              <w:keepNext/>
              <w:widowControl w:val="0"/>
              <w:tabs>
                <w:tab w:val="left" w:pos="436"/>
                <w:tab w:val="left" w:leader="dot" w:pos="7655"/>
              </w:tabs>
              <w:jc w:val="both"/>
              <w:outlineLvl w:val="1"/>
              <w:rPr>
                <w:rFonts w:ascii="Arial Narrow" w:hAnsi="Arial Narrow"/>
                <w:sz w:val="22"/>
                <w:szCs w:val="20"/>
              </w:rPr>
            </w:pPr>
            <w:r>
              <w:rPr>
                <w:rFonts w:ascii="Arial Narrow" w:hAnsi="Arial Narrow"/>
                <w:sz w:val="22"/>
                <w:szCs w:val="20"/>
              </w:rPr>
              <w:t>2.1</w:t>
            </w:r>
            <w:r w:rsidR="00953FD4" w:rsidRPr="00844F9A">
              <w:rPr>
                <w:rFonts w:ascii="Arial Narrow" w:hAnsi="Arial Narrow"/>
                <w:sz w:val="22"/>
                <w:szCs w:val="20"/>
              </w:rPr>
              <w:tab/>
            </w:r>
            <w:r w:rsidR="00533F8A" w:rsidRPr="00844F9A">
              <w:rPr>
                <w:rFonts w:ascii="Arial Narrow" w:hAnsi="Arial Narrow"/>
                <w:sz w:val="22"/>
                <w:szCs w:val="20"/>
              </w:rPr>
              <w:t>Κρατικός</w:t>
            </w:r>
            <w:r w:rsidR="00953FD4" w:rsidRPr="00844F9A">
              <w:rPr>
                <w:rFonts w:ascii="Arial Narrow" w:hAnsi="Arial Narrow"/>
                <w:sz w:val="22"/>
                <w:szCs w:val="20"/>
              </w:rPr>
              <w:t xml:space="preserve"> Προϋπολογισμός</w:t>
            </w:r>
            <w:r w:rsidR="00953FD4"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42</w:t>
            </w:r>
          </w:p>
        </w:tc>
      </w:tr>
      <w:tr w:rsidR="00953FD4" w:rsidRPr="00844F9A" w:rsidTr="000048CD">
        <w:tc>
          <w:tcPr>
            <w:tcW w:w="8046" w:type="dxa"/>
            <w:shd w:val="clear" w:color="auto" w:fill="auto"/>
          </w:tcPr>
          <w:p w:rsidR="00953FD4" w:rsidRPr="00844F9A" w:rsidRDefault="00844F9A" w:rsidP="00953FD4">
            <w:pPr>
              <w:keepNext/>
              <w:widowControl w:val="0"/>
              <w:tabs>
                <w:tab w:val="left" w:pos="436"/>
                <w:tab w:val="left" w:leader="dot" w:pos="7655"/>
              </w:tabs>
              <w:jc w:val="both"/>
              <w:outlineLvl w:val="1"/>
              <w:rPr>
                <w:rFonts w:ascii="Arial Narrow" w:hAnsi="Arial Narrow"/>
                <w:sz w:val="22"/>
                <w:szCs w:val="20"/>
              </w:rPr>
            </w:pPr>
            <w:r>
              <w:rPr>
                <w:rFonts w:ascii="Arial Narrow" w:hAnsi="Arial Narrow"/>
                <w:sz w:val="22"/>
                <w:szCs w:val="20"/>
              </w:rPr>
              <w:t>2.2</w:t>
            </w:r>
            <w:r w:rsidR="00953FD4" w:rsidRPr="00844F9A">
              <w:rPr>
                <w:rFonts w:ascii="Arial Narrow" w:hAnsi="Arial Narrow"/>
                <w:sz w:val="22"/>
                <w:szCs w:val="20"/>
              </w:rPr>
              <w:tab/>
              <w:t>Πρόγραμμα Δημοσίων Επενδύσεων (ΠΔΕ)</w:t>
            </w:r>
            <w:r w:rsidR="00953FD4"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45</w:t>
            </w:r>
          </w:p>
        </w:tc>
      </w:tr>
      <w:tr w:rsidR="00953FD4" w:rsidRPr="00844F9A" w:rsidTr="000048CD">
        <w:tc>
          <w:tcPr>
            <w:tcW w:w="8046" w:type="dxa"/>
            <w:shd w:val="clear" w:color="auto" w:fill="auto"/>
          </w:tcPr>
          <w:p w:rsidR="00953FD4" w:rsidRPr="00844F9A" w:rsidRDefault="00844F9A" w:rsidP="00953FD4">
            <w:pPr>
              <w:keepNext/>
              <w:widowControl w:val="0"/>
              <w:tabs>
                <w:tab w:val="left" w:pos="436"/>
                <w:tab w:val="left" w:leader="dot" w:pos="7655"/>
              </w:tabs>
              <w:jc w:val="both"/>
              <w:outlineLvl w:val="1"/>
              <w:rPr>
                <w:rFonts w:ascii="Arial Narrow" w:hAnsi="Arial Narrow"/>
                <w:sz w:val="22"/>
                <w:szCs w:val="20"/>
              </w:rPr>
            </w:pPr>
            <w:r>
              <w:rPr>
                <w:rFonts w:ascii="Arial Narrow" w:hAnsi="Arial Narrow"/>
                <w:sz w:val="22"/>
                <w:szCs w:val="20"/>
              </w:rPr>
              <w:t>2.3</w:t>
            </w:r>
            <w:r w:rsidR="00953FD4" w:rsidRPr="00844F9A">
              <w:rPr>
                <w:rFonts w:ascii="Arial Narrow" w:hAnsi="Arial Narrow"/>
                <w:sz w:val="22"/>
                <w:szCs w:val="20"/>
              </w:rPr>
              <w:tab/>
              <w:t xml:space="preserve">Λοιποί </w:t>
            </w:r>
            <w:r w:rsidR="00F778F2" w:rsidRPr="00844F9A">
              <w:rPr>
                <w:rFonts w:ascii="Arial Narrow" w:hAnsi="Arial Narrow"/>
                <w:sz w:val="22"/>
                <w:szCs w:val="20"/>
              </w:rPr>
              <w:t>υπο</w:t>
            </w:r>
            <w:r w:rsidR="00953FD4" w:rsidRPr="00844F9A">
              <w:rPr>
                <w:rFonts w:ascii="Arial Narrow" w:hAnsi="Arial Narrow"/>
                <w:sz w:val="22"/>
                <w:szCs w:val="20"/>
              </w:rPr>
              <w:t>τομείς Γενικής Κυβέρνησης</w:t>
            </w:r>
            <w:r w:rsidR="00953FD4"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45</w:t>
            </w:r>
          </w:p>
        </w:tc>
      </w:tr>
      <w:tr w:rsidR="00953FD4" w:rsidRPr="00844F9A" w:rsidTr="000048CD">
        <w:tc>
          <w:tcPr>
            <w:tcW w:w="8046" w:type="dxa"/>
            <w:shd w:val="clear" w:color="auto" w:fill="auto"/>
          </w:tcPr>
          <w:p w:rsidR="00953FD4" w:rsidRPr="00844F9A" w:rsidRDefault="00844F9A" w:rsidP="00953FD4">
            <w:pPr>
              <w:keepNext/>
              <w:widowControl w:val="0"/>
              <w:tabs>
                <w:tab w:val="left" w:pos="436"/>
                <w:tab w:val="left" w:leader="dot" w:pos="7655"/>
              </w:tabs>
              <w:ind w:left="436" w:hanging="436"/>
              <w:jc w:val="both"/>
              <w:outlineLvl w:val="1"/>
              <w:rPr>
                <w:rFonts w:ascii="Arial Narrow" w:hAnsi="Arial Narrow"/>
                <w:sz w:val="22"/>
                <w:szCs w:val="20"/>
              </w:rPr>
            </w:pPr>
            <w:r>
              <w:rPr>
                <w:rFonts w:ascii="Arial Narrow" w:hAnsi="Arial Narrow"/>
                <w:sz w:val="22"/>
                <w:szCs w:val="20"/>
              </w:rPr>
              <w:t>2.4</w:t>
            </w:r>
            <w:r w:rsidR="00953FD4" w:rsidRPr="00844F9A">
              <w:rPr>
                <w:rFonts w:ascii="Arial Narrow" w:hAnsi="Arial Narrow"/>
                <w:sz w:val="22"/>
                <w:szCs w:val="20"/>
              </w:rPr>
              <w:tab/>
            </w:r>
            <w:r w:rsidR="004213BC" w:rsidRPr="00844F9A">
              <w:rPr>
                <w:rFonts w:ascii="Arial Narrow" w:hAnsi="Arial Narrow"/>
                <w:sz w:val="22"/>
                <w:szCs w:val="20"/>
              </w:rPr>
              <w:t>Επισκόπηση δαπανών</w:t>
            </w:r>
            <w:r w:rsidR="003C2D04" w:rsidRPr="00844F9A">
              <w:rPr>
                <w:rFonts w:ascii="Arial Narrow" w:hAnsi="Arial Narrow"/>
                <w:sz w:val="22"/>
                <w:szCs w:val="20"/>
              </w:rPr>
              <w:t xml:space="preserve"> και εσόδων</w:t>
            </w:r>
            <w:r w:rsidR="004213BC"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47</w:t>
            </w:r>
          </w:p>
        </w:tc>
      </w:tr>
      <w:tr w:rsidR="008D197A" w:rsidRPr="00844F9A" w:rsidTr="000048CD">
        <w:tc>
          <w:tcPr>
            <w:tcW w:w="8046" w:type="dxa"/>
            <w:shd w:val="clear" w:color="auto" w:fill="auto"/>
          </w:tcPr>
          <w:p w:rsidR="008D197A" w:rsidRPr="00844F9A" w:rsidRDefault="00844F9A" w:rsidP="003C2D04">
            <w:pPr>
              <w:keepNext/>
              <w:widowControl w:val="0"/>
              <w:tabs>
                <w:tab w:val="left" w:pos="436"/>
                <w:tab w:val="left" w:leader="dot" w:pos="7655"/>
              </w:tabs>
              <w:ind w:left="436" w:hanging="436"/>
              <w:jc w:val="both"/>
              <w:outlineLvl w:val="1"/>
              <w:rPr>
                <w:rFonts w:ascii="Arial Narrow" w:hAnsi="Arial Narrow"/>
                <w:sz w:val="22"/>
                <w:szCs w:val="20"/>
              </w:rPr>
            </w:pPr>
            <w:r>
              <w:rPr>
                <w:rFonts w:ascii="Arial Narrow" w:hAnsi="Arial Narrow"/>
                <w:sz w:val="22"/>
                <w:szCs w:val="20"/>
              </w:rPr>
              <w:t>2.5</w:t>
            </w:r>
            <w:r w:rsidR="008D197A" w:rsidRPr="00844F9A">
              <w:rPr>
                <w:rFonts w:ascii="Arial Narrow" w:hAnsi="Arial Narrow"/>
                <w:sz w:val="22"/>
                <w:szCs w:val="20"/>
              </w:rPr>
              <w:tab/>
              <w:t>Προϋπολογισμός επιδόσεων</w:t>
            </w:r>
            <w:r w:rsidR="008D197A" w:rsidRPr="00844F9A">
              <w:rPr>
                <w:rFonts w:ascii="Arial Narrow" w:hAnsi="Arial Narrow"/>
                <w:sz w:val="22"/>
                <w:szCs w:val="20"/>
              </w:rPr>
              <w:tab/>
            </w:r>
          </w:p>
        </w:tc>
        <w:tc>
          <w:tcPr>
            <w:tcW w:w="993" w:type="dxa"/>
            <w:shd w:val="clear" w:color="auto" w:fill="auto"/>
            <w:vAlign w:val="bottom"/>
          </w:tcPr>
          <w:p w:rsidR="008D197A"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48</w:t>
            </w:r>
          </w:p>
        </w:tc>
      </w:tr>
      <w:tr w:rsidR="00844F9A" w:rsidRPr="00844F9A" w:rsidTr="000048CD">
        <w:tc>
          <w:tcPr>
            <w:tcW w:w="8046" w:type="dxa"/>
            <w:shd w:val="clear" w:color="auto" w:fill="auto"/>
          </w:tcPr>
          <w:p w:rsidR="00844F9A" w:rsidRPr="00844F9A" w:rsidRDefault="00844F9A" w:rsidP="003C2D04">
            <w:pPr>
              <w:keepNext/>
              <w:widowControl w:val="0"/>
              <w:tabs>
                <w:tab w:val="left" w:pos="436"/>
                <w:tab w:val="left" w:leader="dot" w:pos="7655"/>
              </w:tabs>
              <w:ind w:left="436" w:hanging="436"/>
              <w:jc w:val="both"/>
              <w:outlineLvl w:val="1"/>
              <w:rPr>
                <w:rFonts w:ascii="Arial Narrow" w:hAnsi="Arial Narrow"/>
                <w:sz w:val="22"/>
                <w:szCs w:val="20"/>
              </w:rPr>
            </w:pPr>
            <w:r>
              <w:rPr>
                <w:rFonts w:ascii="Arial Narrow" w:hAnsi="Arial Narrow"/>
                <w:sz w:val="22"/>
                <w:szCs w:val="20"/>
              </w:rPr>
              <w:t>2.6</w:t>
            </w:r>
            <w:r>
              <w:rPr>
                <w:rFonts w:ascii="Arial Narrow" w:hAnsi="Arial Narrow"/>
                <w:sz w:val="22"/>
                <w:szCs w:val="20"/>
              </w:rPr>
              <w:tab/>
              <w:t xml:space="preserve">Ενσωμάτωση στον Προϋπολογισμό της περιβαλλοντικής διάστασης – </w:t>
            </w:r>
            <w:r>
              <w:rPr>
                <w:rFonts w:ascii="Arial Narrow" w:hAnsi="Arial Narrow"/>
                <w:sz w:val="22"/>
                <w:szCs w:val="20"/>
                <w:lang w:val="en-US"/>
              </w:rPr>
              <w:t>Green</w:t>
            </w:r>
            <w:r w:rsidRPr="00844F9A">
              <w:rPr>
                <w:rFonts w:ascii="Arial Narrow" w:hAnsi="Arial Narrow"/>
                <w:sz w:val="22"/>
                <w:szCs w:val="20"/>
              </w:rPr>
              <w:t xml:space="preserve"> </w:t>
            </w:r>
            <w:r>
              <w:rPr>
                <w:rFonts w:ascii="Arial Narrow" w:hAnsi="Arial Narrow"/>
                <w:sz w:val="22"/>
                <w:szCs w:val="20"/>
                <w:lang w:val="en-US"/>
              </w:rPr>
              <w:t>Budgeting</w:t>
            </w:r>
            <w:r w:rsidRPr="00844F9A">
              <w:rPr>
                <w:rFonts w:ascii="Arial Narrow" w:hAnsi="Arial Narrow"/>
                <w:sz w:val="22"/>
                <w:szCs w:val="20"/>
              </w:rPr>
              <w:tab/>
            </w:r>
          </w:p>
        </w:tc>
        <w:tc>
          <w:tcPr>
            <w:tcW w:w="993" w:type="dxa"/>
            <w:shd w:val="clear" w:color="auto" w:fill="auto"/>
            <w:vAlign w:val="bottom"/>
          </w:tcPr>
          <w:p w:rsidR="00844F9A"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48</w:t>
            </w:r>
          </w:p>
        </w:tc>
      </w:tr>
      <w:tr w:rsidR="008D197A" w:rsidRPr="00844F9A" w:rsidTr="000048CD">
        <w:tc>
          <w:tcPr>
            <w:tcW w:w="8046" w:type="dxa"/>
            <w:shd w:val="clear" w:color="auto" w:fill="auto"/>
          </w:tcPr>
          <w:p w:rsidR="008D197A" w:rsidRPr="00844F9A" w:rsidRDefault="008D197A" w:rsidP="00844F9A">
            <w:pPr>
              <w:keepNext/>
              <w:widowControl w:val="0"/>
              <w:tabs>
                <w:tab w:val="left" w:pos="436"/>
                <w:tab w:val="left" w:leader="dot" w:pos="7655"/>
              </w:tabs>
              <w:ind w:left="436" w:hanging="436"/>
              <w:jc w:val="both"/>
              <w:outlineLvl w:val="1"/>
              <w:rPr>
                <w:rFonts w:ascii="Arial Narrow" w:hAnsi="Arial Narrow"/>
                <w:sz w:val="22"/>
                <w:szCs w:val="20"/>
              </w:rPr>
            </w:pPr>
            <w:r w:rsidRPr="00844F9A">
              <w:rPr>
                <w:rFonts w:ascii="Arial Narrow" w:hAnsi="Arial Narrow"/>
                <w:sz w:val="22"/>
                <w:szCs w:val="20"/>
              </w:rPr>
              <w:t>3.</w:t>
            </w:r>
            <w:r w:rsidRPr="00844F9A">
              <w:rPr>
                <w:rFonts w:ascii="Arial Narrow" w:hAnsi="Arial Narrow"/>
                <w:sz w:val="22"/>
                <w:szCs w:val="20"/>
              </w:rPr>
              <w:tab/>
            </w:r>
            <w:r w:rsidR="00844F9A" w:rsidRPr="00844F9A">
              <w:rPr>
                <w:rFonts w:ascii="Arial Narrow" w:hAnsi="Arial Narrow"/>
                <w:sz w:val="22"/>
                <w:szCs w:val="20"/>
              </w:rPr>
              <w:t xml:space="preserve">Δημοσιονομικές </w:t>
            </w:r>
            <w:r w:rsidR="00264C17" w:rsidRPr="00844F9A">
              <w:rPr>
                <w:rFonts w:ascii="Arial Narrow" w:hAnsi="Arial Narrow"/>
                <w:sz w:val="22"/>
                <w:szCs w:val="20"/>
              </w:rPr>
              <w:t>παρεμβάσεις 2020</w:t>
            </w:r>
            <w:r w:rsidR="00844F9A">
              <w:rPr>
                <w:rFonts w:ascii="Arial Narrow" w:hAnsi="Arial Narrow"/>
                <w:sz w:val="22"/>
                <w:szCs w:val="20"/>
                <w:lang w:val="en-US"/>
              </w:rPr>
              <w:t xml:space="preserve"> </w:t>
            </w:r>
            <w:r w:rsidR="00844F9A">
              <w:rPr>
                <w:rFonts w:ascii="Arial Narrow" w:hAnsi="Arial Narrow"/>
                <w:sz w:val="22"/>
                <w:szCs w:val="20"/>
              </w:rPr>
              <w:t>και 2021</w:t>
            </w:r>
            <w:r w:rsidRPr="00844F9A">
              <w:rPr>
                <w:rFonts w:ascii="Arial Narrow" w:hAnsi="Arial Narrow"/>
                <w:sz w:val="22"/>
                <w:szCs w:val="20"/>
              </w:rPr>
              <w:tab/>
            </w:r>
          </w:p>
        </w:tc>
        <w:tc>
          <w:tcPr>
            <w:tcW w:w="993" w:type="dxa"/>
            <w:shd w:val="clear" w:color="auto" w:fill="auto"/>
            <w:vAlign w:val="bottom"/>
          </w:tcPr>
          <w:p w:rsidR="008D197A"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49</w:t>
            </w:r>
          </w:p>
        </w:tc>
      </w:tr>
      <w:tr w:rsidR="00953FD4" w:rsidRPr="00844F9A" w:rsidTr="000048CD">
        <w:tc>
          <w:tcPr>
            <w:tcW w:w="8046" w:type="dxa"/>
            <w:shd w:val="clear" w:color="auto" w:fill="auto"/>
          </w:tcPr>
          <w:p w:rsidR="00953FD4" w:rsidRPr="00844F9A" w:rsidRDefault="00953FD4" w:rsidP="00953FD4">
            <w:pPr>
              <w:keepNext/>
              <w:widowControl w:val="0"/>
              <w:tabs>
                <w:tab w:val="left" w:pos="436"/>
                <w:tab w:val="left" w:leader="dot" w:pos="7655"/>
              </w:tabs>
              <w:jc w:val="both"/>
              <w:outlineLvl w:val="1"/>
              <w:rPr>
                <w:rFonts w:ascii="Arial Narrow" w:hAnsi="Arial Narrow"/>
                <w:sz w:val="22"/>
                <w:szCs w:val="20"/>
              </w:rPr>
            </w:pPr>
          </w:p>
        </w:tc>
        <w:tc>
          <w:tcPr>
            <w:tcW w:w="993" w:type="dxa"/>
            <w:shd w:val="clear" w:color="auto" w:fill="auto"/>
            <w:vAlign w:val="bottom"/>
          </w:tcPr>
          <w:p w:rsidR="00953FD4" w:rsidRPr="00844F9A" w:rsidRDefault="00953FD4" w:rsidP="00953FD4">
            <w:pPr>
              <w:widowControl w:val="0"/>
              <w:tabs>
                <w:tab w:val="left" w:pos="436"/>
              </w:tabs>
              <w:jc w:val="right"/>
              <w:outlineLvl w:val="2"/>
              <w:rPr>
                <w:rFonts w:ascii="Arial Narrow" w:hAnsi="Arial Narrow"/>
                <w:sz w:val="22"/>
                <w:szCs w:val="20"/>
              </w:rPr>
            </w:pP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outlineLvl w:val="2"/>
              <w:rPr>
                <w:rFonts w:ascii="Arial Narrow" w:hAnsi="Arial Narrow"/>
                <w:b/>
                <w:sz w:val="20"/>
                <w:szCs w:val="20"/>
              </w:rPr>
            </w:pPr>
          </w:p>
        </w:tc>
        <w:tc>
          <w:tcPr>
            <w:tcW w:w="993" w:type="dxa"/>
            <w:vAlign w:val="bottom"/>
          </w:tcPr>
          <w:p w:rsidR="00953FD4" w:rsidRPr="00844F9A" w:rsidRDefault="00953FD4" w:rsidP="00953FD4">
            <w:pPr>
              <w:widowControl w:val="0"/>
              <w:tabs>
                <w:tab w:val="left" w:pos="436"/>
              </w:tabs>
              <w:jc w:val="right"/>
              <w:outlineLvl w:val="2"/>
              <w:rPr>
                <w:rFonts w:ascii="Arial Narrow" w:hAnsi="Arial Narrow"/>
                <w:sz w:val="20"/>
                <w:szCs w:val="20"/>
              </w:rPr>
            </w:pPr>
          </w:p>
        </w:tc>
      </w:tr>
      <w:tr w:rsidR="00953FD4" w:rsidRPr="00844F9A" w:rsidTr="000048CD">
        <w:tc>
          <w:tcPr>
            <w:tcW w:w="8046" w:type="dxa"/>
          </w:tcPr>
          <w:p w:rsidR="00953FD4" w:rsidRPr="00844F9A" w:rsidRDefault="00953FD4" w:rsidP="00953FD4">
            <w:pPr>
              <w:keepNext/>
              <w:tabs>
                <w:tab w:val="left" w:pos="436"/>
                <w:tab w:val="left" w:leader="dot" w:pos="7655"/>
              </w:tabs>
              <w:jc w:val="both"/>
              <w:outlineLvl w:val="1"/>
              <w:rPr>
                <w:rFonts w:ascii="Arial Narrow" w:hAnsi="Arial Narrow"/>
                <w:b/>
                <w:color w:val="000080"/>
                <w:sz w:val="26"/>
                <w:szCs w:val="20"/>
              </w:rPr>
            </w:pPr>
            <w:r w:rsidRPr="00844F9A">
              <w:rPr>
                <w:rFonts w:ascii="Arial Narrow" w:hAnsi="Arial Narrow"/>
                <w:b/>
                <w:color w:val="000080"/>
                <w:sz w:val="26"/>
                <w:szCs w:val="20"/>
              </w:rPr>
              <w:t>Κεφάλαιο 3</w:t>
            </w:r>
          </w:p>
        </w:tc>
        <w:tc>
          <w:tcPr>
            <w:tcW w:w="993" w:type="dxa"/>
            <w:vAlign w:val="bottom"/>
          </w:tcPr>
          <w:p w:rsidR="00953FD4" w:rsidRPr="00844F9A" w:rsidRDefault="00953FD4" w:rsidP="00953FD4">
            <w:pPr>
              <w:tabs>
                <w:tab w:val="left" w:pos="436"/>
              </w:tabs>
              <w:jc w:val="right"/>
              <w:rPr>
                <w:rFonts w:ascii="Arial Narrow" w:hAnsi="Arial Narrow"/>
                <w:color w:val="000080"/>
                <w:sz w:val="26"/>
                <w:szCs w:val="20"/>
              </w:rPr>
            </w:pP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outlineLvl w:val="1"/>
              <w:rPr>
                <w:rFonts w:ascii="Arial Narrow" w:hAnsi="Arial Narrow"/>
                <w:b/>
                <w:color w:val="000080"/>
                <w:szCs w:val="20"/>
              </w:rPr>
            </w:pPr>
            <w:r w:rsidRPr="00844F9A">
              <w:rPr>
                <w:rFonts w:ascii="Arial Narrow" w:hAnsi="Arial Narrow"/>
                <w:b/>
                <w:color w:val="000080"/>
                <w:szCs w:val="20"/>
              </w:rPr>
              <w:t>Δημόσιο χρέος</w:t>
            </w:r>
            <w:r w:rsidRPr="00844F9A">
              <w:rPr>
                <w:rFonts w:ascii="Arial Narrow" w:hAnsi="Arial Narrow"/>
                <w:b/>
                <w:color w:val="000080"/>
                <w:szCs w:val="20"/>
              </w:rPr>
              <w:tab/>
              <w:t xml:space="preserve"> </w:t>
            </w:r>
          </w:p>
        </w:tc>
        <w:tc>
          <w:tcPr>
            <w:tcW w:w="993" w:type="dxa"/>
            <w:vAlign w:val="bottom"/>
          </w:tcPr>
          <w:p w:rsidR="00953FD4" w:rsidRPr="00844F9A" w:rsidRDefault="00477B5B" w:rsidP="00953FD4">
            <w:pPr>
              <w:widowControl w:val="0"/>
              <w:tabs>
                <w:tab w:val="left" w:pos="436"/>
              </w:tabs>
              <w:jc w:val="right"/>
              <w:rPr>
                <w:rFonts w:ascii="Arial Narrow" w:hAnsi="Arial Narrow"/>
                <w:b/>
                <w:color w:val="000080"/>
                <w:szCs w:val="20"/>
              </w:rPr>
            </w:pPr>
            <w:r>
              <w:rPr>
                <w:rFonts w:ascii="Arial Narrow" w:hAnsi="Arial Narrow"/>
                <w:b/>
                <w:color w:val="000080"/>
                <w:szCs w:val="20"/>
              </w:rPr>
              <w:t>57</w:t>
            </w: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rPr>
                <w:rFonts w:ascii="Arial Narrow" w:hAnsi="Arial Narrow"/>
                <w:szCs w:val="20"/>
              </w:rPr>
            </w:pPr>
          </w:p>
        </w:tc>
        <w:tc>
          <w:tcPr>
            <w:tcW w:w="993" w:type="dxa"/>
            <w:vAlign w:val="bottom"/>
          </w:tcPr>
          <w:p w:rsidR="00953FD4" w:rsidRPr="00844F9A" w:rsidRDefault="00953FD4" w:rsidP="00953FD4">
            <w:pPr>
              <w:widowControl w:val="0"/>
              <w:tabs>
                <w:tab w:val="left" w:pos="436"/>
              </w:tabs>
              <w:jc w:val="right"/>
              <w:rPr>
                <w:rFonts w:ascii="Arial Narrow" w:hAnsi="Arial Narrow"/>
                <w:b/>
                <w:szCs w:val="20"/>
              </w:rPr>
            </w:pPr>
          </w:p>
        </w:tc>
      </w:tr>
      <w:tr w:rsidR="00953FD4" w:rsidRPr="00844F9A" w:rsidTr="000048CD">
        <w:tc>
          <w:tcPr>
            <w:tcW w:w="8046" w:type="dxa"/>
            <w:shd w:val="clear" w:color="auto" w:fill="auto"/>
          </w:tcPr>
          <w:p w:rsidR="00953FD4" w:rsidRPr="00844F9A" w:rsidRDefault="00953FD4" w:rsidP="00953FD4">
            <w:pPr>
              <w:keepNext/>
              <w:widowControl w:val="0"/>
              <w:tabs>
                <w:tab w:val="left" w:pos="436"/>
                <w:tab w:val="left" w:leader="dot" w:pos="7655"/>
              </w:tabs>
              <w:ind w:left="436" w:hanging="436"/>
              <w:jc w:val="both"/>
              <w:outlineLvl w:val="1"/>
              <w:rPr>
                <w:rFonts w:ascii="Arial Narrow" w:hAnsi="Arial Narrow"/>
                <w:sz w:val="22"/>
                <w:szCs w:val="20"/>
              </w:rPr>
            </w:pPr>
            <w:r w:rsidRPr="00844F9A">
              <w:rPr>
                <w:rFonts w:ascii="Arial Narrow" w:hAnsi="Arial Narrow"/>
                <w:sz w:val="22"/>
                <w:szCs w:val="20"/>
              </w:rPr>
              <w:t>1.</w:t>
            </w:r>
            <w:r w:rsidRPr="00844F9A">
              <w:rPr>
                <w:rFonts w:ascii="Arial Narrow" w:hAnsi="Arial Narrow"/>
                <w:sz w:val="22"/>
                <w:szCs w:val="20"/>
              </w:rPr>
              <w:tab/>
              <w:t>Σύνθεση δημόσιου χρέους</w:t>
            </w:r>
            <w:r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57</w:t>
            </w:r>
          </w:p>
        </w:tc>
      </w:tr>
      <w:tr w:rsidR="00953FD4" w:rsidRPr="00844F9A" w:rsidTr="000048CD">
        <w:tc>
          <w:tcPr>
            <w:tcW w:w="8046" w:type="dxa"/>
            <w:shd w:val="clear" w:color="auto" w:fill="auto"/>
          </w:tcPr>
          <w:p w:rsidR="00953FD4" w:rsidRPr="00844F9A" w:rsidRDefault="00953FD4" w:rsidP="00953FD4">
            <w:pPr>
              <w:widowControl w:val="0"/>
              <w:tabs>
                <w:tab w:val="left" w:pos="436"/>
                <w:tab w:val="left" w:leader="dot" w:pos="7655"/>
              </w:tabs>
              <w:ind w:left="436" w:hanging="436"/>
              <w:jc w:val="both"/>
              <w:outlineLvl w:val="2"/>
              <w:rPr>
                <w:rFonts w:ascii="Arial Narrow" w:hAnsi="Arial Narrow"/>
                <w:sz w:val="22"/>
                <w:szCs w:val="20"/>
              </w:rPr>
            </w:pPr>
            <w:r w:rsidRPr="00844F9A">
              <w:rPr>
                <w:rFonts w:ascii="Arial Narrow" w:hAnsi="Arial Narrow"/>
                <w:sz w:val="22"/>
                <w:szCs w:val="20"/>
              </w:rPr>
              <w:t>2.</w:t>
            </w:r>
            <w:r w:rsidRPr="00844F9A">
              <w:rPr>
                <w:rFonts w:ascii="Arial Narrow" w:hAnsi="Arial Narrow"/>
                <w:sz w:val="22"/>
                <w:szCs w:val="20"/>
              </w:rPr>
              <w:tab/>
              <w:t>Δαπάνες εξυπηρέτησης χρέους</w:t>
            </w:r>
            <w:r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59</w:t>
            </w:r>
          </w:p>
        </w:tc>
      </w:tr>
      <w:tr w:rsidR="00953FD4" w:rsidRPr="00844F9A" w:rsidTr="000048CD">
        <w:tc>
          <w:tcPr>
            <w:tcW w:w="8046" w:type="dxa"/>
            <w:shd w:val="clear" w:color="auto" w:fill="auto"/>
          </w:tcPr>
          <w:p w:rsidR="00953FD4" w:rsidRPr="00844F9A" w:rsidRDefault="00953FD4" w:rsidP="00953FD4">
            <w:pPr>
              <w:keepNext/>
              <w:widowControl w:val="0"/>
              <w:tabs>
                <w:tab w:val="left" w:pos="436"/>
                <w:tab w:val="left" w:leader="dot" w:pos="7655"/>
              </w:tabs>
              <w:jc w:val="both"/>
              <w:outlineLvl w:val="1"/>
              <w:rPr>
                <w:rFonts w:ascii="Arial Narrow" w:hAnsi="Arial Narrow"/>
                <w:sz w:val="22"/>
                <w:szCs w:val="20"/>
              </w:rPr>
            </w:pPr>
            <w:r w:rsidRPr="00844F9A">
              <w:rPr>
                <w:rFonts w:ascii="Arial Narrow" w:hAnsi="Arial Narrow"/>
                <w:sz w:val="22"/>
                <w:szCs w:val="20"/>
              </w:rPr>
              <w:t>3.</w:t>
            </w:r>
            <w:r w:rsidRPr="00844F9A">
              <w:rPr>
                <w:rFonts w:ascii="Arial Narrow" w:hAnsi="Arial Narrow"/>
                <w:sz w:val="22"/>
                <w:szCs w:val="20"/>
              </w:rPr>
              <w:tab/>
              <w:t>Οι αγορές τίτλων του Ελληνικού Δημοσίου</w:t>
            </w:r>
            <w:r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59</w:t>
            </w:r>
          </w:p>
        </w:tc>
      </w:tr>
      <w:tr w:rsidR="00953FD4" w:rsidRPr="00844F9A" w:rsidTr="000048CD">
        <w:tc>
          <w:tcPr>
            <w:tcW w:w="8046" w:type="dxa"/>
            <w:shd w:val="clear" w:color="auto" w:fill="auto"/>
          </w:tcPr>
          <w:p w:rsidR="00953FD4" w:rsidRPr="00844F9A" w:rsidRDefault="00953FD4" w:rsidP="009A05C9">
            <w:pPr>
              <w:widowControl w:val="0"/>
              <w:tabs>
                <w:tab w:val="left" w:pos="436"/>
                <w:tab w:val="left" w:leader="dot" w:pos="7655"/>
              </w:tabs>
              <w:jc w:val="both"/>
              <w:outlineLvl w:val="2"/>
              <w:rPr>
                <w:rFonts w:ascii="Arial Narrow" w:hAnsi="Arial Narrow"/>
                <w:sz w:val="22"/>
                <w:szCs w:val="20"/>
              </w:rPr>
            </w:pPr>
            <w:r w:rsidRPr="00844F9A">
              <w:rPr>
                <w:rFonts w:ascii="Arial Narrow" w:hAnsi="Arial Narrow"/>
                <w:sz w:val="22"/>
                <w:szCs w:val="20"/>
              </w:rPr>
              <w:t>4.</w:t>
            </w:r>
            <w:r w:rsidRPr="00844F9A">
              <w:rPr>
                <w:rFonts w:ascii="Arial Narrow" w:hAnsi="Arial Narrow"/>
                <w:sz w:val="22"/>
                <w:szCs w:val="20"/>
              </w:rPr>
              <w:tab/>
              <w:t>Βασικές κατευθύνσεις δανεισμού και δ</w:t>
            </w:r>
            <w:r w:rsidR="00844F9A">
              <w:rPr>
                <w:rFonts w:ascii="Arial Narrow" w:hAnsi="Arial Narrow"/>
                <w:sz w:val="22"/>
                <w:szCs w:val="20"/>
              </w:rPr>
              <w:t>ιαχειριστικών στόχων για το 2021</w:t>
            </w:r>
            <w:r w:rsidRPr="00844F9A">
              <w:rPr>
                <w:rFonts w:ascii="Arial Narrow" w:hAnsi="Arial Narrow"/>
                <w:sz w:val="22"/>
                <w:szCs w:val="20"/>
              </w:rPr>
              <w:tab/>
            </w:r>
          </w:p>
        </w:tc>
        <w:tc>
          <w:tcPr>
            <w:tcW w:w="993" w:type="dxa"/>
            <w:shd w:val="clear" w:color="auto" w:fill="auto"/>
            <w:vAlign w:val="bottom"/>
          </w:tcPr>
          <w:p w:rsidR="00953FD4" w:rsidRPr="00844F9A" w:rsidRDefault="00477B5B" w:rsidP="00953FD4">
            <w:pPr>
              <w:widowControl w:val="0"/>
              <w:tabs>
                <w:tab w:val="left" w:pos="436"/>
              </w:tabs>
              <w:jc w:val="right"/>
              <w:outlineLvl w:val="2"/>
              <w:rPr>
                <w:rFonts w:ascii="Arial Narrow" w:hAnsi="Arial Narrow"/>
                <w:sz w:val="22"/>
                <w:szCs w:val="20"/>
              </w:rPr>
            </w:pPr>
            <w:r>
              <w:rPr>
                <w:rFonts w:ascii="Arial Narrow" w:hAnsi="Arial Narrow"/>
                <w:sz w:val="22"/>
                <w:szCs w:val="20"/>
              </w:rPr>
              <w:t>61</w:t>
            </w: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rPr>
                <w:rFonts w:ascii="Arial Narrow" w:hAnsi="Arial Narrow"/>
                <w:b/>
                <w:sz w:val="22"/>
                <w:szCs w:val="20"/>
              </w:rPr>
            </w:pPr>
          </w:p>
        </w:tc>
        <w:tc>
          <w:tcPr>
            <w:tcW w:w="993" w:type="dxa"/>
            <w:vAlign w:val="bottom"/>
          </w:tcPr>
          <w:p w:rsidR="00953FD4" w:rsidRPr="00844F9A" w:rsidRDefault="00953FD4" w:rsidP="00953FD4">
            <w:pPr>
              <w:widowControl w:val="0"/>
              <w:tabs>
                <w:tab w:val="left" w:pos="436"/>
              </w:tabs>
              <w:jc w:val="right"/>
              <w:rPr>
                <w:rFonts w:ascii="Arial Narrow" w:hAnsi="Arial Narrow"/>
                <w:b/>
                <w:sz w:val="22"/>
                <w:szCs w:val="20"/>
              </w:rPr>
            </w:pPr>
          </w:p>
        </w:tc>
      </w:tr>
      <w:tr w:rsidR="00953FD4" w:rsidRPr="00844F9A" w:rsidTr="000048CD">
        <w:tc>
          <w:tcPr>
            <w:tcW w:w="8046" w:type="dxa"/>
          </w:tcPr>
          <w:p w:rsidR="00953FD4" w:rsidRPr="00844F9A" w:rsidRDefault="00953FD4" w:rsidP="00953FD4">
            <w:pPr>
              <w:widowControl w:val="0"/>
              <w:tabs>
                <w:tab w:val="left" w:pos="436"/>
                <w:tab w:val="left" w:leader="dot" w:pos="7655"/>
              </w:tabs>
              <w:jc w:val="both"/>
              <w:rPr>
                <w:rFonts w:ascii="Arial Narrow" w:hAnsi="Arial Narrow"/>
                <w:b/>
                <w:sz w:val="22"/>
                <w:szCs w:val="20"/>
              </w:rPr>
            </w:pPr>
          </w:p>
        </w:tc>
        <w:tc>
          <w:tcPr>
            <w:tcW w:w="993" w:type="dxa"/>
            <w:vAlign w:val="bottom"/>
          </w:tcPr>
          <w:p w:rsidR="00953FD4" w:rsidRPr="00844F9A" w:rsidRDefault="00953FD4" w:rsidP="00953FD4">
            <w:pPr>
              <w:widowControl w:val="0"/>
              <w:tabs>
                <w:tab w:val="left" w:pos="436"/>
              </w:tabs>
              <w:jc w:val="right"/>
              <w:rPr>
                <w:rFonts w:ascii="Arial Narrow" w:hAnsi="Arial Narrow"/>
                <w:sz w:val="20"/>
                <w:szCs w:val="20"/>
              </w:rPr>
            </w:pPr>
          </w:p>
        </w:tc>
      </w:tr>
    </w:tbl>
    <w:p w:rsidR="00953FD4" w:rsidRPr="00E643AA" w:rsidRDefault="00953FD4" w:rsidP="00953FD4">
      <w:pPr>
        <w:jc w:val="both"/>
        <w:rPr>
          <w:strike/>
          <w:sz w:val="20"/>
          <w:szCs w:val="20"/>
        </w:rPr>
      </w:pPr>
    </w:p>
    <w:p w:rsidR="00953FD4" w:rsidRPr="00E643AA" w:rsidRDefault="00953FD4" w:rsidP="00953FD4">
      <w:pPr>
        <w:jc w:val="both"/>
        <w:rPr>
          <w:strike/>
          <w:sz w:val="20"/>
          <w:szCs w:val="20"/>
        </w:rPr>
      </w:pPr>
    </w:p>
    <w:p w:rsidR="00953FD4" w:rsidRPr="00E643AA" w:rsidRDefault="00953FD4">
      <w:pPr>
        <w:rPr>
          <w:strike/>
          <w:sz w:val="20"/>
          <w:szCs w:val="20"/>
        </w:rPr>
      </w:pPr>
      <w:r w:rsidRPr="00E643AA">
        <w:rPr>
          <w:strike/>
          <w:sz w:val="20"/>
          <w:szCs w:val="20"/>
        </w:rPr>
        <w:br w:type="page"/>
      </w:r>
    </w:p>
    <w:p w:rsidR="00953FD4" w:rsidRPr="00E643AA" w:rsidRDefault="00953FD4" w:rsidP="00953FD4">
      <w:pPr>
        <w:jc w:val="both"/>
        <w:rPr>
          <w:strike/>
          <w:sz w:val="20"/>
          <w:szCs w:val="20"/>
        </w:rPr>
      </w:pPr>
    </w:p>
    <w:p w:rsidR="003B594D" w:rsidRPr="00E643AA" w:rsidRDefault="003B594D">
      <w:pPr>
        <w:rPr>
          <w:b/>
          <w:strike/>
        </w:rPr>
      </w:pPr>
    </w:p>
    <w:p w:rsidR="003B594D" w:rsidRPr="00E643AA" w:rsidRDefault="003B594D">
      <w:pPr>
        <w:rPr>
          <w:b/>
          <w:strike/>
        </w:rPr>
        <w:sectPr w:rsidR="003B594D" w:rsidRPr="00E643AA" w:rsidSect="004213BC">
          <w:pgSz w:w="11906" w:h="16838" w:code="9"/>
          <w:pgMar w:top="1418" w:right="1418" w:bottom="1418" w:left="1418" w:header="709" w:footer="709" w:gutter="0"/>
          <w:pgNumType w:start="7"/>
          <w:cols w:space="708"/>
          <w:docGrid w:linePitch="360"/>
        </w:sectPr>
      </w:pPr>
    </w:p>
    <w:p w:rsidR="000C72C7" w:rsidRPr="00B067F4" w:rsidRDefault="000C72C7" w:rsidP="000C72C7">
      <w:pPr>
        <w:jc w:val="both"/>
        <w:rPr>
          <w:rFonts w:ascii="Arial Narrow" w:hAnsi="Arial Narrow"/>
          <w:b/>
          <w:color w:val="000080"/>
          <w:sz w:val="40"/>
          <w:szCs w:val="22"/>
        </w:rPr>
      </w:pPr>
      <w:r w:rsidRPr="00B067F4">
        <w:rPr>
          <w:rFonts w:ascii="Arial Narrow" w:hAnsi="Arial Narrow"/>
          <w:b/>
          <w:color w:val="000080"/>
          <w:sz w:val="40"/>
          <w:szCs w:val="22"/>
        </w:rPr>
        <w:lastRenderedPageBreak/>
        <w:t>ΟΙΚΟΝΟΜΙΚΕΣ ΕΞΕΛΙΞΕΙΣ</w:t>
      </w:r>
    </w:p>
    <w:p w:rsidR="000C72C7" w:rsidRPr="00B067F4" w:rsidRDefault="000C72C7" w:rsidP="000C72C7">
      <w:pPr>
        <w:jc w:val="both"/>
        <w:rPr>
          <w:rFonts w:ascii="Arial Narrow" w:hAnsi="Arial Narrow"/>
          <w:b/>
          <w:color w:val="000080"/>
          <w:sz w:val="40"/>
          <w:szCs w:val="22"/>
        </w:rPr>
      </w:pPr>
      <w:r w:rsidRPr="00B067F4">
        <w:rPr>
          <w:rFonts w:ascii="Arial Narrow" w:hAnsi="Arial Narrow"/>
          <w:b/>
          <w:color w:val="000080"/>
          <w:sz w:val="40"/>
          <w:szCs w:val="22"/>
        </w:rPr>
        <w:t>ΚΑΙ ΠΡΟΟΠΤΙΚΕΣ</w:t>
      </w:r>
    </w:p>
    <w:p w:rsidR="000C72C7" w:rsidRPr="00B067F4" w:rsidRDefault="000C72C7" w:rsidP="000C72C7">
      <w:pPr>
        <w:jc w:val="both"/>
        <w:rPr>
          <w:szCs w:val="22"/>
        </w:rPr>
      </w:pPr>
    </w:p>
    <w:p w:rsidR="000D05B1" w:rsidRPr="00B067F4" w:rsidRDefault="000D05B1" w:rsidP="000D05B1">
      <w:pPr>
        <w:jc w:val="both"/>
        <w:rPr>
          <w:szCs w:val="22"/>
        </w:rPr>
      </w:pPr>
    </w:p>
    <w:p w:rsidR="000D05B1" w:rsidRPr="00E67917" w:rsidRDefault="000D05B1" w:rsidP="000D05B1">
      <w:pPr>
        <w:shd w:val="clear" w:color="auto" w:fill="BFBFBF"/>
        <w:tabs>
          <w:tab w:val="left" w:pos="540"/>
        </w:tabs>
        <w:jc w:val="both"/>
        <w:rPr>
          <w:rFonts w:ascii="Arial Narrow" w:hAnsi="Arial Narrow"/>
          <w:b/>
          <w:sz w:val="26"/>
          <w:szCs w:val="22"/>
        </w:rPr>
      </w:pPr>
      <w:bookmarkStart w:id="1" w:name="OLE_LINK1"/>
      <w:r w:rsidRPr="00B067F4">
        <w:rPr>
          <w:rFonts w:ascii="Arial Narrow" w:hAnsi="Arial Narrow"/>
          <w:b/>
          <w:sz w:val="26"/>
          <w:szCs w:val="22"/>
        </w:rPr>
        <w:t>1.</w:t>
      </w:r>
      <w:r w:rsidRPr="00B067F4">
        <w:rPr>
          <w:rFonts w:ascii="Arial Narrow" w:hAnsi="Arial Narrow"/>
          <w:b/>
          <w:sz w:val="26"/>
          <w:szCs w:val="22"/>
        </w:rPr>
        <w:tab/>
        <w:t>Μα</w:t>
      </w:r>
      <w:r w:rsidR="00B067F4">
        <w:rPr>
          <w:rFonts w:ascii="Arial Narrow" w:hAnsi="Arial Narrow"/>
          <w:b/>
          <w:sz w:val="26"/>
          <w:szCs w:val="22"/>
        </w:rPr>
        <w:t>κροοικονομικές εξελίξεις το 20</w:t>
      </w:r>
      <w:r w:rsidR="00B067F4" w:rsidRPr="00E67917">
        <w:rPr>
          <w:rFonts w:ascii="Arial Narrow" w:hAnsi="Arial Narrow"/>
          <w:b/>
          <w:sz w:val="26"/>
          <w:szCs w:val="22"/>
        </w:rPr>
        <w:t>20</w:t>
      </w:r>
    </w:p>
    <w:bookmarkEnd w:id="1"/>
    <w:p w:rsidR="000D05B1" w:rsidRPr="00B067F4" w:rsidRDefault="000D05B1" w:rsidP="000D05B1">
      <w:pPr>
        <w:jc w:val="both"/>
        <w:rPr>
          <w:szCs w:val="22"/>
        </w:rPr>
      </w:pPr>
    </w:p>
    <w:p w:rsidR="007D29EA" w:rsidRPr="007D29EA" w:rsidRDefault="007D29EA" w:rsidP="007D29EA">
      <w:pPr>
        <w:jc w:val="both"/>
        <w:rPr>
          <w:szCs w:val="22"/>
        </w:rPr>
      </w:pPr>
      <w:r w:rsidRPr="007D29EA">
        <w:rPr>
          <w:szCs w:val="22"/>
        </w:rPr>
        <w:t>Στο κατώφλι του 2020, οι προοπτικές ανάπτυξης της ελληνικής οικονομίας εμφάνιζαν ισχυρή δυναμική επιτάχυνσης, ως αποτέλεσμα της νέας οικονομικής πολιτικής που εφαρμόστηκε από το δεύτερο εξάμηνο του 2019.</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 xml:space="preserve">Η νέα πολιτική στόχευση ενίσχυσε γρήγορα τις προσδοκίες επιχειρήσεων και νοικοκυριών, τις συνθήκες ρευστότητας της οικονομίας και την εμπιστοσύνη του διεθνούς περιβάλλοντος ως προς την ευόδωση των δημοσιονομικών και μεταρρυθμιστικών στόχων της Ελλάδας. Μέσα στο δεύτερο εξάμηνο του 2019, προέκυψε το 53,7% της θετικής συνεισφοράς της ιδιωτικής κατανάλωσης και το 86% της θετικής συνεισφοράς των επενδύσεων στο πραγματικό ΑΕΠ του έτους, καθώς και η αντιστάθμιση της αρνητικής συνεισφοράς των συνολικών καθαρών εξαγωγών αγαθών του πρώτου εξαμήνου από τις -0,8 στις +0,8 ποσοστιαίες μονάδες του ΑΕΠ. </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Η επιτάχυνση των επενδύσεων προς το τέλος του έτους αποτυπώνει τα πρώιμα οφέλη από τον προσανατολισμό της νέας πολιτικής στην Ελλάδα στη μείωση του επενδυτικού κενού. Η ετήσια αύξηση των επενδύσεων κατά 4,5% καταδεικνύει την εύρωστη δυναμική των δύο τελευταίων τριμήνων του 2019, κατά τα οποία ο ακαθάριστος σχηματισμός παγίου κεφαλαίου αυξήθηκε κατά 8,1% έναντι του αντίστοιχου εξαμήνου του 2018. Σε συνδυασμό με την ενίσχυση της ενεργού ζήτησης και την ανοδική πορεία των καθαρών εξαγωγών κατά 0,3 ποσοστιαίες μονάδες του ΑΕΠ (έναντι μείωσής τους κατά 0,9 μονάδες του ΑΕΠ στο πρώτο εξάμηνο), η ως άνω εξέλιξη συνέβαλε στη διαμόρφωση ετήσιου ρυθμού ανάπτυξης 1,9% στο σύνολο του 2019. Ένας άλλος σημαντικός παράγοντας για την αύξηση του όγκου του εγχώριου προϊόντος ήταν η δυναμική αύξηση της συνολικής και της μισθωτής απασχόλησης το 2019 (κατά 2,0% και 4,0%, αντίστοιχα, έναντι 1,7% και 2,3% το προηγούμενο έτος), αντίθετα με τη μείωση των αυτοαπασχολούμενων.</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 xml:space="preserve">Η στατιστική καταγραφή επιβράδυνσης του ρυθμού ανάπτυξης του δεύτερου εξαμήνου του 2019 έναντι του πρώτου (1,6% έναντι 2,1%, αντίστοιχα), δεν σηματοδοτεί εξασθένιση της αναπτυξιακής δυναμικής της οικονομίας, αλλά οφείλεται στη μείωση των αποθεμάτων της οικονομίας, εν μέσω αυξανόμενης εγχώριας ζήτησης, και στη συγκράτηση της πραγματικής δημόσιας κατανάλωσης μετά την απότομη </w:t>
      </w:r>
      <w:r w:rsidR="005546E5">
        <w:rPr>
          <w:szCs w:val="22"/>
        </w:rPr>
        <w:t xml:space="preserve">-και συνδεδεμένη με τον εκλογικό κύκλο- </w:t>
      </w:r>
      <w:r w:rsidRPr="007D29EA">
        <w:rPr>
          <w:szCs w:val="22"/>
        </w:rPr>
        <w:t xml:space="preserve">αύξησή της κατά 6,3% από τρίμηνο σε τρίμηνο στο τέλος του πρώτου εξαμήνου του 2019. </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 xml:space="preserve">Δεδομένης της ανωτέρω δυναμικής, στην αρχή του 2020 και πριν το ξέσπασμα της υγειονομικής κρίσης λόγω του </w:t>
      </w:r>
      <w:proofErr w:type="spellStart"/>
      <w:r w:rsidRPr="007D29EA">
        <w:rPr>
          <w:szCs w:val="22"/>
        </w:rPr>
        <w:t>κορωνοϊού</w:t>
      </w:r>
      <w:proofErr w:type="spellEnd"/>
      <w:r w:rsidRPr="007D29EA">
        <w:rPr>
          <w:szCs w:val="22"/>
        </w:rPr>
        <w:t xml:space="preserve">, ο ετήσιος ρυθμός ανάπτυξης του πραγματικού ΑΕΠ το 2020 αναμενόταν στο 2,8% (πρόβλεψη Κρατικού Προϋπολογισμού 2020), στη βάση της ενισχυμένης εγχώριας ζήτησης από τη φορολογική ελάφρυνση επιχειρήσεων και νοικοκυριών, την εξάλειψη των μεγάλων υπερβάσεων των δημοσιονομικών στόχων που συμπίεζαν την οικονομική ανάπτυξη από το 2015 </w:t>
      </w:r>
      <w:r w:rsidR="0031449C">
        <w:rPr>
          <w:szCs w:val="22"/>
        </w:rPr>
        <w:t>(το 2019</w:t>
      </w:r>
      <w:r w:rsidR="005546E5">
        <w:rPr>
          <w:szCs w:val="22"/>
        </w:rPr>
        <w:t xml:space="preserve"> ήταν η πρώτη χρονιά που οι στόχοι επιτεύχθηκαν ακριβώς χωρίς την παραμικρή δημοσιονομική υπέρβαση) </w:t>
      </w:r>
      <w:r w:rsidRPr="007D29EA">
        <w:rPr>
          <w:szCs w:val="22"/>
        </w:rPr>
        <w:t xml:space="preserve">και την ταχύτερη εκτέλεση του προγράμματος ιδιωτικοποιήσεων.  </w:t>
      </w:r>
    </w:p>
    <w:p w:rsidR="007D29EA" w:rsidRPr="00415535" w:rsidRDefault="007D29EA" w:rsidP="00F00E87">
      <w:pPr>
        <w:jc w:val="both"/>
        <w:rPr>
          <w:szCs w:val="22"/>
        </w:rPr>
      </w:pPr>
    </w:p>
    <w:p w:rsidR="007D29EA" w:rsidRPr="007D29EA" w:rsidRDefault="007D29EA" w:rsidP="007D29EA">
      <w:pPr>
        <w:jc w:val="both"/>
        <w:rPr>
          <w:szCs w:val="22"/>
        </w:rPr>
      </w:pPr>
      <w:r w:rsidRPr="007D29EA">
        <w:rPr>
          <w:szCs w:val="22"/>
        </w:rPr>
        <w:lastRenderedPageBreak/>
        <w:t xml:space="preserve">Ωστόσο, κατά τη διάρκεια του πρώτου τριμήνου του 2020 η εξάπλωση της νόσου </w:t>
      </w:r>
      <w:proofErr w:type="spellStart"/>
      <w:r w:rsidRPr="007D29EA">
        <w:rPr>
          <w:szCs w:val="22"/>
          <w:lang w:val="en-US"/>
        </w:rPr>
        <w:t>Covid</w:t>
      </w:r>
      <w:proofErr w:type="spellEnd"/>
      <w:r w:rsidRPr="007D29EA">
        <w:rPr>
          <w:szCs w:val="22"/>
        </w:rPr>
        <w:t>-19 εξελίχθηκε στη μεγαλύτερη παγκόσμια υγειονομική κρίση από την ισπανική γρίπη του 1918, επιβάλλοντας στις χώρες τη λήψη μέτρων αποστασιοποίησης για τον περιορισμό της διασποράς του ιού και την προστασία της ανθρώπινης ζωής, με κορυφαίο μέτρο, σε πολλές χώρες, την καθολική απαγόρευση κυκλοφορίας και την αναστολή λειτουργίας κλάδων επιχειρήσεων (</w:t>
      </w:r>
      <w:r w:rsidRPr="007D29EA">
        <w:rPr>
          <w:szCs w:val="22"/>
          <w:lang w:val="en-US"/>
        </w:rPr>
        <w:t>lockdown</w:t>
      </w:r>
      <w:r w:rsidRPr="007D29EA">
        <w:rPr>
          <w:szCs w:val="22"/>
        </w:rPr>
        <w:t xml:space="preserve">) κατά το δεύτερο τρίμηνο του 2020. </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Τα μέτρα αυτά επιδείνωσαν τις ήδη εξασθενημένες προοπτικές της παγκόσμιας οικονομίας, αφενός μέσω της απασχόλησης και της προσφοράς των κλάδων που ανέστειλαν τη λειτουργία τους, αφετέρου μέσω των δευτερογενών επιπτώσεων σε άλλους κλάδους της οικονομίας και στη συνολική ζήτηση.</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 xml:space="preserve">Στην Ελλάδα, από τον Μάρτιο του 2020 αναπτύχθηκε μία δυναμική στρατηγική παρακολούθησης των επιδημιολογικών εξελίξεων και </w:t>
      </w:r>
      <w:r w:rsidR="00315CF6">
        <w:rPr>
          <w:szCs w:val="22"/>
        </w:rPr>
        <w:t xml:space="preserve">ταυτόχρονης </w:t>
      </w:r>
      <w:r w:rsidRPr="007D29EA">
        <w:rPr>
          <w:szCs w:val="22"/>
        </w:rPr>
        <w:t xml:space="preserve">αναπροσαρμογής τόσο των υγειονομικών μέτρων όσο και των οικονομικών μέτρων στήριξης έναντι της πανδημίας. Κομβικό σημείο αποτέλεσε, στις 23 Μαρτίου 2020, η </w:t>
      </w:r>
      <w:r w:rsidR="00315CF6">
        <w:rPr>
          <w:szCs w:val="22"/>
        </w:rPr>
        <w:t xml:space="preserve">λήψη μέτρων </w:t>
      </w:r>
      <w:r w:rsidRPr="007D29EA">
        <w:rPr>
          <w:szCs w:val="22"/>
        </w:rPr>
        <w:t>απαγόρευση</w:t>
      </w:r>
      <w:r w:rsidR="00315CF6">
        <w:rPr>
          <w:szCs w:val="22"/>
        </w:rPr>
        <w:t>ς</w:t>
      </w:r>
      <w:r w:rsidRPr="007D29EA">
        <w:rPr>
          <w:szCs w:val="22"/>
        </w:rPr>
        <w:t xml:space="preserve"> κυκλοφορίας και η αναστολή λειτουργίας κλάδων</w:t>
      </w:r>
      <w:r w:rsidR="00315CF6">
        <w:rPr>
          <w:szCs w:val="22"/>
        </w:rPr>
        <w:t xml:space="preserve"> της οικονομίας</w:t>
      </w:r>
      <w:r w:rsidRPr="007D29EA">
        <w:rPr>
          <w:szCs w:val="22"/>
        </w:rPr>
        <w:t xml:space="preserve"> (</w:t>
      </w:r>
      <w:r w:rsidRPr="007D29EA">
        <w:rPr>
          <w:szCs w:val="22"/>
          <w:lang w:val="en-US"/>
        </w:rPr>
        <w:t>lockdown</w:t>
      </w:r>
      <w:r w:rsidRPr="007D29EA">
        <w:rPr>
          <w:szCs w:val="22"/>
        </w:rPr>
        <w:t xml:space="preserve">), που περιόρισαν τη διασπορά του ιού εντός της ελληνικής επικράτειας, εμποδίζοντας την εξάπλωση της νόσου και ανάγοντας την Ελλάδα σε μία από τις πιο επιτυχημένες περιπτώσεις διαχείρισης του πρώτου κύματος της υγειονομικής κρίσης παγκοσμίως. Η άρση των ως άνω μέτρων πραγματοποιήθηκε σταδιακά από τις 4 Μαΐου 2020, με το αποτύπωμά τους όμως σε όρους κάμψης της οικονομικής δραστηριότητας να εκτιμάται σε διψήφια ποσοστά για το δεύτερο τρίμηνο του 2020 (-15,2% σε όρους όγκου ΑΕΠ ως προς το αντίστοιχο τρίμηνο του 2019).  </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 xml:space="preserve">Από τα παραπάνω γίνεται σαφές ότι η παρούσα κρίση είναι διττή, αφενός υγειονομικής φύσης και αφετέρου οικονομικών επιπτώσεων. Μέτρα για την άμβλυνση των επιπτώσεων στην οικονομία </w:t>
      </w:r>
      <w:r w:rsidR="00315CF6">
        <w:rPr>
          <w:szCs w:val="22"/>
        </w:rPr>
        <w:t>εφαρμόστηκαν</w:t>
      </w:r>
      <w:r w:rsidR="00315CF6" w:rsidRPr="007D29EA">
        <w:rPr>
          <w:szCs w:val="22"/>
        </w:rPr>
        <w:t xml:space="preserve"> </w:t>
      </w:r>
      <w:r w:rsidRPr="007D29EA">
        <w:rPr>
          <w:szCs w:val="22"/>
        </w:rPr>
        <w:t>έγκαιρα σε εθνικό επίπεδο</w:t>
      </w:r>
      <w:r w:rsidR="00315CF6">
        <w:rPr>
          <w:szCs w:val="22"/>
        </w:rPr>
        <w:t>, αλλά υιοθετήθηκαν</w:t>
      </w:r>
      <w:r w:rsidRPr="007D29EA">
        <w:rPr>
          <w:szCs w:val="22"/>
        </w:rPr>
        <w:t xml:space="preserve"> και σε επίπεδο Ευρωπαϊκής Ένωσης, η αντίδραση της οποίας στην παρούσα κρίση ήταν αποφασιστική. Παρόλα αυτά, το πλήγμα για την ευρωπαϊκή οικονομία αναμένεται να είναι βαρύ, με την τελευταία ανακοινωθείσα εκτίμηση της Ευρωπαϊκής Επιτροπής</w:t>
      </w:r>
      <w:r w:rsidRPr="007D29EA">
        <w:rPr>
          <w:szCs w:val="22"/>
          <w:vertAlign w:val="superscript"/>
        </w:rPr>
        <w:footnoteReference w:id="1"/>
      </w:r>
      <w:r w:rsidRPr="007D29EA">
        <w:rPr>
          <w:szCs w:val="22"/>
        </w:rPr>
        <w:t xml:space="preserve"> για την ύφεση του 2020 να φτάνει τις 8,7 ποσοστιαίες μονάδες του ΑΕΠ για την Ευρωζώνη και τις 8,3 ποσοστιαίες μονάδες του ΑΕΠ για την Ευρωπαϊκή Ένωση.</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Για την ελληνική οικονομία, η πρώτη εθνική μακροοικονομική πρόβλεψη για την επίπτωση της πανδημίας έγινε στα μέσα Απριλίου 2020, υπό την υπόθεση της εξάντλησης της υγειονομικής κρίσης μέσα στο δεύτερο τρίμηνο του 2020, και αντιστοιχούσε σε ύφεση 4,7% για το 2020, σύμφωνα με το σενάριο βάσης του Προγράμματος Σταθερότητας 2020. Μία δεύτερη εκτίμηση για ύφεση 7,9% του ΑΕΠ συμπεριλήφθηκε ως εναλλακτικό σενάριο στο Πρόγραμμα Σταθερότητας, στη βάση δυσμενέστερων υποθέσεων έναντι του βασικού σεναρίου, όσον αφορά την ύφεση στην Ευρωζώνη και την επίπτωση της πανδημίας στον εξωτερικό τουρισμό της χώρας.</w:t>
      </w:r>
    </w:p>
    <w:p w:rsidR="007D29EA" w:rsidRPr="00415535" w:rsidRDefault="007D29EA" w:rsidP="007D29EA">
      <w:pPr>
        <w:jc w:val="both"/>
        <w:rPr>
          <w:szCs w:val="22"/>
        </w:rPr>
      </w:pPr>
    </w:p>
    <w:p w:rsidR="007D29EA" w:rsidRPr="007D29EA" w:rsidRDefault="007D29EA" w:rsidP="007D29EA">
      <w:pPr>
        <w:jc w:val="both"/>
        <w:rPr>
          <w:szCs w:val="22"/>
        </w:rPr>
      </w:pPr>
      <w:r w:rsidRPr="007D29EA">
        <w:rPr>
          <w:szCs w:val="22"/>
        </w:rPr>
        <w:t xml:space="preserve">Θα πρέπει να σημειωθεί ότι η αντιμετώπιση της πανδημίας και των συνεπειών </w:t>
      </w:r>
      <w:r w:rsidR="0031449C">
        <w:rPr>
          <w:szCs w:val="22"/>
        </w:rPr>
        <w:t>της,</w:t>
      </w:r>
      <w:r w:rsidRPr="007D29EA">
        <w:rPr>
          <w:szCs w:val="22"/>
        </w:rPr>
        <w:t xml:space="preserve"> συντελείται υπό συνθήκες αβεβαιότητας που </w:t>
      </w:r>
      <w:proofErr w:type="spellStart"/>
      <w:r w:rsidRPr="007D29EA">
        <w:rPr>
          <w:szCs w:val="22"/>
        </w:rPr>
        <w:t>εκφεύγουν</w:t>
      </w:r>
      <w:proofErr w:type="spellEnd"/>
      <w:r w:rsidRPr="007D29EA">
        <w:rPr>
          <w:szCs w:val="22"/>
        </w:rPr>
        <w:t xml:space="preserve"> του ελέγχου των </w:t>
      </w:r>
      <w:r w:rsidR="00721C53">
        <w:rPr>
          <w:szCs w:val="22"/>
        </w:rPr>
        <w:t>κυβερνήσεων</w:t>
      </w:r>
      <w:r w:rsidRPr="007D29EA">
        <w:rPr>
          <w:szCs w:val="22"/>
        </w:rPr>
        <w:t xml:space="preserve"> των χωρών, λόγω της υγειονομικής φύσης τους. Τα επιδημιολογικά χαρακτηριστικά και η εξέλιξη της διασποράς του ιού, καθώς και η πρόοδος στην εξεύρεση λύσεων από την ιατρική επιστημονική κοινότητα,  αποτελούν παράγοντες που καθορίζουν τον σχεδιασμό συνεχώς νέων μέτρων </w:t>
      </w:r>
      <w:r w:rsidRPr="007D29EA">
        <w:rPr>
          <w:szCs w:val="22"/>
        </w:rPr>
        <w:lastRenderedPageBreak/>
        <w:t xml:space="preserve">τόσο για τον περιορισμό της διασποράς της νόσου, όσο και για την αντιστάθμιση των οικονομικών επιπτώσεων των υγειονομικών μέτρων και της αβεβαιότητας.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 xml:space="preserve">Συνεπώς, η διάρκεια της κρίσης, που συσχετίζεται με το χρονικό σημείο εξάλειψης του υγειονομικού κινδύνου, αποτελεί σήμερα την πιο σημαντική, αλλά άγνωστη παράμετρο για τη διαδικασία οικονομικών προβλέψεων. Σε αυτό το περιβάλλον, κάθε άσκηση προβλέψεων για την πορεία της οικονομίας συνοδεύεται από επισφάλεια, όπως αποδεικνύεται από τις συνεχείς επί το χείρον αναθεωρήσεις των μακροοικονομικών προσομοιώσεων όλων των διεθνών οργανισμών από το δεύτερο τρίμηνο του 2020.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 xml:space="preserve">Και στην περίπτωση της Ελλάδας, οι διαμορφούμενες εξελίξεις πέραν του Απριλίου 2020 συντείνουν στην ανάγκη προς τα κάτω αναθεώρησης του </w:t>
      </w:r>
      <w:r w:rsidRPr="007D29EA">
        <w:rPr>
          <w:iCs/>
          <w:szCs w:val="22"/>
        </w:rPr>
        <w:t>βασικού</w:t>
      </w:r>
      <w:r w:rsidRPr="007D29EA">
        <w:rPr>
          <w:szCs w:val="22"/>
        </w:rPr>
        <w:t xml:space="preserve"> μακροοικονομικού σεναρίου του Προγράμματος Σταθερότητας. Τα αίτια επανεξέτασης του βασικού σεναρίου σχετίζονται με τη διάρκεια της υγειονομικής κρίσης και τη μετατόπιση των εξωτερικών υποθέσεων από μία βραχύβια διαταραχή που δεν θα εκτεινόταν πέραν του δεύτερου τριμήνου 2020 σε μία πιο μεσοπρόθεσμη νέα πραγματικότητα παγκοσμίως. Ήδη την τρέχουσα περίοδο, είναι γεγονός μία νέα έξαρση της νόσου </w:t>
      </w:r>
      <w:proofErr w:type="spellStart"/>
      <w:r w:rsidRPr="007D29EA">
        <w:rPr>
          <w:szCs w:val="22"/>
          <w:lang w:val="en-US"/>
        </w:rPr>
        <w:t>Covid</w:t>
      </w:r>
      <w:proofErr w:type="spellEnd"/>
      <w:r w:rsidRPr="007D29EA">
        <w:rPr>
          <w:szCs w:val="22"/>
        </w:rPr>
        <w:t xml:space="preserve">-19 στην Ευρώπη και παγκοσμίως, με τη συνεπαγόμενη εξωτερική επίδραση της βαθύτερης ύφεσης στην Ευρωζώνη και της μεγαλύτερης επίπτωσης στις διεθνείς ταξιδιωτικές αφίξεις να υπερβαίνει για την ελληνική οικονομία ακόμη και εκείνες του ως άνω εναλλακτικού σεναρίου του Προγράμματος Σταθερότητας.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 xml:space="preserve">Ειδικότερα, οι νέες υποθέσεις όπου βασίζονται οι τρέχουσες προβλέψεις για την ελληνική οικονομία </w:t>
      </w:r>
      <w:r w:rsidR="00315CF6">
        <w:rPr>
          <w:szCs w:val="22"/>
        </w:rPr>
        <w:t>ενσωματώνουν</w:t>
      </w:r>
      <w:r w:rsidR="00315CF6" w:rsidRPr="007D29EA">
        <w:rPr>
          <w:szCs w:val="22"/>
        </w:rPr>
        <w:t xml:space="preserve"> </w:t>
      </w:r>
      <w:r w:rsidRPr="007D29EA">
        <w:rPr>
          <w:szCs w:val="22"/>
        </w:rPr>
        <w:t>βαθύτερη ύφεση στην Ευρωζώνη έναντι των προηγούμενων εκτιμήσεων</w:t>
      </w:r>
      <w:r w:rsidRPr="007D29EA">
        <w:rPr>
          <w:szCs w:val="22"/>
          <w:vertAlign w:val="superscript"/>
        </w:rPr>
        <w:footnoteReference w:id="2"/>
      </w:r>
      <w:r w:rsidRPr="007D29EA">
        <w:rPr>
          <w:szCs w:val="22"/>
        </w:rPr>
        <w:t xml:space="preserve">, μεγαλύτερη μείωση ταξιδιωτικών αφίξεων μη κατοίκων στο δεύτερο εξάμηνο του έτους κατά 70% έναντι του 2019 (που επιφέρουν την απώλεια των ¾ των εισπράξεων του 2019 στο σύνολο του 2020) και πιο αργή επαναφορά της οικονομίας σε συνθήκες κανονικότητας, λόγω της συνεχιζόμενης επαπειλούμενης όξυνσης της υγειονομικής κατάστασης ως τον Απρίλιο του 2021. Η προσθήκη της τελευταίας υπόθεσης, στη βάση των τελευταίων επιδημιολογικών δεδομένων, επιδρά στο σενάριο μέσω της επίπτωσης τοπικών μέτρων κοινωνικής αποστασιοποίησης και της πιο μόνιμης αλλαγής καταναλωτικών συνηθειών του πληθυσμού. Διαμέσου αυτών, αναθεωρείται επί το χείρον η εκτιμώμενη ταχύτητα οικονομικής ανάκαμψης του δεύτερου εξαμήνου του 2020, που εν συνεχεία καθιστά δυσμενή την επίδραση μεταφοράς στο 2021.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 xml:space="preserve">Από την άλλη πλευρά, η καλύτερη επίδοση της οικονομίας στο πρώτο τρίμηνο του 2020 έναντι των εκτιμήσεων του Προγράμματος Σταθερότητας, κατά 2,1 ποσοστιαίες μονάδες του ΑΕΠ, σε συνδυασμό με την ελαφρώς ηπιότερη ύφεση του δεύτερου τριμήνου έναντι της αντίστοιχης εθνικής εκτίμησης (-15,2% έναντι -15,6%), εν μέρει αντισταθμίζει την επίδραση των νέων, πιο απαισιόδοξων υποθέσεων, τοποθετώντας την εκτίμηση για την ύφεση του 2020 κοντά στο εναλλακτικό σενάριο του Προγράμματος.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Ειδικότερα, με βάση τα προσωρινά στοιχεία εθνικών λογαριασμών</w:t>
      </w:r>
      <w:r w:rsidRPr="007D29EA">
        <w:rPr>
          <w:szCs w:val="22"/>
          <w:vertAlign w:val="superscript"/>
        </w:rPr>
        <w:footnoteReference w:id="3"/>
      </w:r>
      <w:r w:rsidRPr="007D29EA">
        <w:rPr>
          <w:szCs w:val="22"/>
        </w:rPr>
        <w:t xml:space="preserve">, στο πρώτο τρίμηνο του 2020 το πραγματικό ΑΕΠ υποχώρησε μόνο οριακά, κατά 0,5% έναντι του αντίστοιχου τριμήνου του 2019, στη βάση της θετικής πορείας της δημόσιας κατανάλωσης (+1,4%) και των εξαγωγών αγαθών (+4,0%) που σχεδόν αντιστάθμισαν τη μείωση της ιδιωτικής κατανάλωσης (-0,7%) και των επενδύσεων (-6,4%). Η </w:t>
      </w:r>
      <w:r w:rsidR="002076A6">
        <w:rPr>
          <w:szCs w:val="22"/>
        </w:rPr>
        <w:t>ηπιότερη</w:t>
      </w:r>
      <w:r w:rsidR="002076A6" w:rsidRPr="007D29EA">
        <w:rPr>
          <w:szCs w:val="22"/>
        </w:rPr>
        <w:t xml:space="preserve"> </w:t>
      </w:r>
      <w:r w:rsidRPr="007D29EA">
        <w:rPr>
          <w:szCs w:val="22"/>
        </w:rPr>
        <w:t>μείωση του ελληνικού ΑΕΠ σε σύγκριση με τον ευρωπαϊκό μέσο όρο (-3,2% στην Ευρωζώνη και -2,7% στην Ευρωπαϊκή Ένωση) α</w:t>
      </w:r>
      <w:r w:rsidRPr="007D29EA">
        <w:rPr>
          <w:szCs w:val="22"/>
        </w:rPr>
        <w:lastRenderedPageBreak/>
        <w:t>ντικατοπτρίζει τη μεγαλύτερη δυναμική ανάπτυξης της ελληνικής οικονομίας στις αρχές του έτους έναντι του ευρωπαϊκού μέσου όρου</w:t>
      </w:r>
      <w:r w:rsidRPr="007D29EA">
        <w:rPr>
          <w:szCs w:val="22"/>
          <w:vertAlign w:val="superscript"/>
        </w:rPr>
        <w:footnoteReference w:id="4"/>
      </w:r>
      <w:r w:rsidRPr="007D29EA">
        <w:rPr>
          <w:szCs w:val="22"/>
        </w:rPr>
        <w:t xml:space="preserve">.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 xml:space="preserve">Το ευνοϊκότερο αυτό αποτέλεσμα πρώτου τριμήνου συσχετίζεται με τις θετικές προοπτικές στην αγορά εργασίας στην Ελλάδα στο ίδιο διάστημα. Ωστόσο, η παρούσα κρίση, με τις αναπόφευκτες πρωτογενείς απώλειες που επιφέρει στην αγορά εργασίας, μέσω της άμεσης επίπτωσής της στην πλευρά της παραγωγής, αναπόφευκτα θα αναστρέψει προσωρινά την προ </w:t>
      </w:r>
      <w:proofErr w:type="spellStart"/>
      <w:r w:rsidRPr="007D29EA">
        <w:rPr>
          <w:szCs w:val="22"/>
          <w:lang w:val="en-US"/>
        </w:rPr>
        <w:t>Covid</w:t>
      </w:r>
      <w:proofErr w:type="spellEnd"/>
      <w:r w:rsidRPr="007D29EA">
        <w:rPr>
          <w:szCs w:val="22"/>
        </w:rPr>
        <w:t xml:space="preserve">-19 δυναμική αύξησης της απασχόλησης για το υπόλοιπο έτος.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Στο δεύτερο τρίμηνο του 2020, εντός του οποίου ανεστάλη η λειτουργία ολόκληρων κλάδων της οικονομίας (</w:t>
      </w:r>
      <w:r w:rsidRPr="007D29EA">
        <w:rPr>
          <w:szCs w:val="22"/>
          <w:lang w:val="en-US"/>
        </w:rPr>
        <w:t>lockdown</w:t>
      </w:r>
      <w:r w:rsidRPr="007D29EA">
        <w:rPr>
          <w:szCs w:val="22"/>
        </w:rPr>
        <w:t xml:space="preserve">), η ραγδαία επιδείνωση της οικονομικής συγκυρίας </w:t>
      </w:r>
      <w:r w:rsidR="002076A6">
        <w:rPr>
          <w:szCs w:val="22"/>
        </w:rPr>
        <w:t>ανέστειλε</w:t>
      </w:r>
      <w:r w:rsidR="002076A6" w:rsidRPr="007D29EA">
        <w:rPr>
          <w:szCs w:val="22"/>
        </w:rPr>
        <w:t xml:space="preserve"> </w:t>
      </w:r>
      <w:r w:rsidRPr="007D29EA">
        <w:rPr>
          <w:szCs w:val="22"/>
        </w:rPr>
        <w:t xml:space="preserve">την προϋπάρχουσα αναπτυξιακή δυναμική στην Ελλάδα. Σε στατιστικούς όρους, στο σύνολο του 2020 αυτό αποτυπώνεται ως ελαφρώς μεγαλύτερη επίπτωση της υγειονομικής κρίσης στην Ελλάδα έναντι της Ευρωζώνης, σε σχέση με τις προ </w:t>
      </w:r>
      <w:proofErr w:type="spellStart"/>
      <w:r w:rsidRPr="007D29EA">
        <w:rPr>
          <w:szCs w:val="22"/>
          <w:lang w:val="en-US"/>
        </w:rPr>
        <w:t>Covid</w:t>
      </w:r>
      <w:proofErr w:type="spellEnd"/>
      <w:r w:rsidRPr="007D29EA">
        <w:rPr>
          <w:szCs w:val="22"/>
        </w:rPr>
        <w:t xml:space="preserve">-19 εκτιμήσεις (-11,0 ποσοστιαίες μονάδες του ΑΕΠ για την Ελλάδα το 2020, έναντι -9,9 μονάδων για την Ευρωζώνη). Ωστόσο, η διενέργεια συγκρίσεων με προηγούμενες εκτιμήσεις παραβλέπει τη μεταβολή της οικονομικής συγκυρίας και την εκμηδένιση της όποιας έντασης δυναμικής ανάπτυξης, λόγω της οριζόντιας αναστολής της οικονομικής δραστηριότητας.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 xml:space="preserve">Αντίθετα, σε όρους μεταβολής έναντι του προηγούμενου έτους, η ελληνική οικονομία εμφανίζει ανθεκτικότερη εικόνα στο σύνολο του πρώτου εξαμήνου έναντι των ευρωπαϊκών μέσων όρων, με την ύφεση στο 7,9% έναντι 8,3% στην Ευρωπαϊκή Ένωση και 9,0% στην Ευρωζώνη. Η εικόνα αυτή εκτιμάται ότι θα διατηρηθεί στο σύνολο του έτους, παρά την άμβλυνση της ψαλίδας της ύφεσης μεταξύ Ελλάδας και Ευρωζώνης περίπου στο μισό των 1,1 ποσοστιαίων μονάδων όπου βρισκόταν στο πρώτο εξάμηνο του έτους. </w:t>
      </w:r>
    </w:p>
    <w:p w:rsidR="0014792D" w:rsidRPr="00415535" w:rsidRDefault="0014792D" w:rsidP="007D29EA">
      <w:pPr>
        <w:jc w:val="both"/>
        <w:rPr>
          <w:szCs w:val="22"/>
        </w:rPr>
      </w:pPr>
    </w:p>
    <w:p w:rsidR="007D29EA" w:rsidRPr="007D29EA" w:rsidRDefault="007D29EA" w:rsidP="007D29EA">
      <w:pPr>
        <w:jc w:val="both"/>
        <w:rPr>
          <w:szCs w:val="22"/>
        </w:rPr>
      </w:pPr>
      <w:r w:rsidRPr="007D29EA">
        <w:rPr>
          <w:szCs w:val="22"/>
        </w:rPr>
        <w:t>Στην άμβλυνση αυτή αναμένεται ότι θα συντελέσουν οι μεγάλες απώλειες για τον κλάδο του τουρισμού στο τρίτο τρίμηνο του 2020, λόγω της διαχρονικής συγκέντρωσης υψηλού ποσοστού διεθνών ταξιδιωτικών αφίξεων εντός αυτού του τριμήνου</w:t>
      </w:r>
      <w:r w:rsidRPr="007D29EA">
        <w:rPr>
          <w:szCs w:val="22"/>
          <w:vertAlign w:val="superscript"/>
        </w:rPr>
        <w:footnoteReference w:id="5"/>
      </w:r>
      <w:r w:rsidRPr="007D29EA">
        <w:rPr>
          <w:szCs w:val="22"/>
        </w:rPr>
        <w:t>. Στο τέταρτο τρίμηνο του έτους</w:t>
      </w:r>
      <w:r w:rsidRPr="007D29EA">
        <w:rPr>
          <w:szCs w:val="22"/>
          <w:vertAlign w:val="superscript"/>
        </w:rPr>
        <w:footnoteReference w:id="6"/>
      </w:r>
      <w:r w:rsidRPr="007D29EA">
        <w:rPr>
          <w:szCs w:val="22"/>
        </w:rPr>
        <w:t>, η εκτιμώμενη επιβράδυνση του ρυθμού ανάκαμψης στην Ελλάδα ενσωματώνει τα τελευταία επιδημιολογικά δεδομένα κάτω από την υπόθεση διατήρησης των τοπικών μέτρων κοινωνικής αποστασιοποίησης στο επίπεδο που ήταν στα μέσα Σεπτεμβρίου (</w:t>
      </w:r>
      <w:r w:rsidR="0014792D">
        <w:rPr>
          <w:szCs w:val="22"/>
        </w:rPr>
        <w:t>δ</w:t>
      </w:r>
      <w:r w:rsidRPr="007D29EA">
        <w:rPr>
          <w:szCs w:val="22"/>
        </w:rPr>
        <w:t>ιάγραμμα 1.1).</w:t>
      </w:r>
    </w:p>
    <w:p w:rsidR="007D29EA" w:rsidRPr="007D29EA" w:rsidRDefault="007D29EA" w:rsidP="007D29EA">
      <w:pPr>
        <w:jc w:val="both"/>
        <w:rPr>
          <w:szCs w:val="22"/>
        </w:rPr>
      </w:pPr>
      <w:r w:rsidRPr="007D29EA">
        <w:rPr>
          <w:szCs w:val="22"/>
        </w:rPr>
        <w:t>Από το διάγραμμα 1.1, είναι φανερό ότι η ύφεση του 2020 οδηγείται από την κάμψη της οικονομικής δραστηριότητας στο δεύτερο τρίμηνο του έτους, η οποία αντανακλά το καθολικό «πάγωμα» της δραστηριότητας σε συγκεκριμένους κλάδους παραγωγής (</w:t>
      </w:r>
      <w:r w:rsidRPr="007D29EA">
        <w:rPr>
          <w:szCs w:val="22"/>
          <w:lang w:val="en-US"/>
        </w:rPr>
        <w:t>lockdown</w:t>
      </w:r>
      <w:r w:rsidRPr="007D29EA">
        <w:rPr>
          <w:szCs w:val="22"/>
        </w:rPr>
        <w:t xml:space="preserve">) που συντελέστηκε τόσο στην Ελλάδα, όσο και διεθνώς. </w:t>
      </w:r>
    </w:p>
    <w:p w:rsidR="0014792D" w:rsidRDefault="0014792D" w:rsidP="007D29EA">
      <w:pPr>
        <w:jc w:val="both"/>
        <w:rPr>
          <w:szCs w:val="22"/>
        </w:rPr>
      </w:pPr>
    </w:p>
    <w:p w:rsidR="007D29EA" w:rsidRPr="007D29EA" w:rsidRDefault="007D29EA" w:rsidP="007D29EA">
      <w:pPr>
        <w:jc w:val="both"/>
        <w:rPr>
          <w:bCs/>
          <w:iCs/>
          <w:szCs w:val="22"/>
        </w:rPr>
      </w:pPr>
      <w:r w:rsidRPr="007D29EA">
        <w:rPr>
          <w:szCs w:val="22"/>
        </w:rPr>
        <w:t>Στο πλαίσιο αυτό, ενδιαφέρον παρουσιάζει η περιγραφή της συνολικής εικόνας που διαμορφώνεται από τη συνισταμένη των εν λόγω πρωτογενών και δευτερογενών επιπτώσεων. Στην Ελλάδα, στο δεύτερο τρίμηνο του 2020 η</w:t>
      </w:r>
      <w:r w:rsidRPr="007D29EA">
        <w:rPr>
          <w:iCs/>
          <w:szCs w:val="22"/>
        </w:rPr>
        <w:t xml:space="preserve"> πραγματική ακαθάριστη προστιθέμενη αξία (ΑΠΑ) της οικονομίας υποχώρησε κατά 14,0%</w:t>
      </w:r>
      <w:r w:rsidRPr="007D29EA">
        <w:rPr>
          <w:bCs/>
          <w:iCs/>
          <w:szCs w:val="22"/>
        </w:rPr>
        <w:t xml:space="preserve"> έναντι του αντίστοιχου τριμήνου του 2019, με αντί</w:t>
      </w:r>
      <w:r w:rsidRPr="007D29EA">
        <w:rPr>
          <w:bCs/>
          <w:iCs/>
          <w:szCs w:val="22"/>
        </w:rPr>
        <w:lastRenderedPageBreak/>
        <w:t>στοιχες μειώσεις σε όλους τους κλάδους οικονομικής δραστηριότητας πλην των κατασκευών (+24,2%) και της δημόσιας διοίκησης (+0,9%)</w:t>
      </w:r>
      <w:r w:rsidRPr="007D29EA">
        <w:rPr>
          <w:bCs/>
          <w:iCs/>
          <w:szCs w:val="22"/>
          <w:vertAlign w:val="superscript"/>
        </w:rPr>
        <w:footnoteReference w:id="7"/>
      </w:r>
      <w:r w:rsidRPr="007D29EA">
        <w:rPr>
          <w:bCs/>
          <w:iCs/>
          <w:szCs w:val="22"/>
        </w:rPr>
        <w:t xml:space="preserve">. Οι μεγαλύτερες μειώσεις της ΑΠΑ σημειώθηκαν στους κλάδους του χονδρικού και λιανικού εμπορίου, εστίασης και καταλυμάτων (57,1% της συνολικής μείωσης ΑΠΑ) και των τεχνών (10,1%), με τους κλάδους των ορυχείων / μεταποίησης και των επαγγελματικών / επιστημονικών δραστηριοτήτων να ακολουθούν (9,3% και 9,1% της συνολικής μείωσης ΑΠΑ, αντίστοιχα). </w:t>
      </w:r>
    </w:p>
    <w:p w:rsidR="0014792D" w:rsidRDefault="0014792D" w:rsidP="007D29EA">
      <w:pPr>
        <w:jc w:val="both"/>
        <w:rPr>
          <w:bCs/>
          <w:iCs/>
          <w:szCs w:val="22"/>
        </w:rPr>
      </w:pPr>
    </w:p>
    <w:p w:rsidR="007D29EA" w:rsidRPr="007D29EA" w:rsidRDefault="007D29EA" w:rsidP="007D29EA">
      <w:pPr>
        <w:jc w:val="both"/>
        <w:rPr>
          <w:bCs/>
          <w:iCs/>
          <w:szCs w:val="22"/>
        </w:rPr>
      </w:pPr>
      <w:r w:rsidRPr="007D29EA">
        <w:rPr>
          <w:bCs/>
          <w:iCs/>
          <w:szCs w:val="22"/>
        </w:rPr>
        <w:t xml:space="preserve">Συνεπώς, και σε αντιστοιχία με τη στόχευση των μέτρων περιορισμού των οικονομικών επιπτώσεων της πανδημίας, η μεγαλύτερη επίδραση του </w:t>
      </w:r>
      <w:r w:rsidRPr="007D29EA">
        <w:rPr>
          <w:bCs/>
          <w:iCs/>
          <w:szCs w:val="22"/>
          <w:lang w:val="en-US"/>
        </w:rPr>
        <w:t>lockdown</w:t>
      </w:r>
      <w:r w:rsidRPr="007D29EA">
        <w:rPr>
          <w:bCs/>
          <w:iCs/>
          <w:szCs w:val="22"/>
        </w:rPr>
        <w:t xml:space="preserve"> του δεύτερου τριμήνου 2020 φαίνεται να καταγράφεται στους κλάδους του εμπορίου, του τουρισμού, των τεχνών, της μεταποίησης και των επιστημονικών/διοικητικών θέσεων. </w:t>
      </w:r>
    </w:p>
    <w:p w:rsidR="0014792D" w:rsidRDefault="0014792D" w:rsidP="007D29EA">
      <w:pPr>
        <w:jc w:val="both"/>
        <w:rPr>
          <w:szCs w:val="22"/>
        </w:rPr>
      </w:pPr>
    </w:p>
    <w:p w:rsidR="007D29EA" w:rsidRPr="007D29EA" w:rsidRDefault="007D29EA" w:rsidP="007D29EA">
      <w:pPr>
        <w:jc w:val="both"/>
        <w:rPr>
          <w:bCs/>
          <w:iCs/>
          <w:szCs w:val="22"/>
        </w:rPr>
      </w:pPr>
      <w:r w:rsidRPr="007D29EA">
        <w:rPr>
          <w:szCs w:val="22"/>
        </w:rPr>
        <w:t>Σε συσχέτιση με την εξέλιξη της ΑΠΑ, το πραγματικό ΑΕΠ συρρικνώθηκε στο δεύτερο τρίμηνο του 2020 κατά 14,0% έναντι του προηγουμένου τριμήνου, και κατά 15,2% έναντι του δεύτερου τριμήνου του 2019. Όλες οι συνιστώσες του ΑΕΠ κινήθηκαν αρνητικά σε όρους όγκου, όπως ήταν αναμενόμενο εν μέσω της διαταραχής στην παραγωγή και της δευτερογενούς μετάδοσής της σε μη άμεσα πληττόμενους κλάδους μέσω της μείωσης της ζήτησης.</w:t>
      </w:r>
    </w:p>
    <w:p w:rsidR="000D05B1" w:rsidRPr="00415535" w:rsidRDefault="000D05B1" w:rsidP="000D05B1">
      <w:pPr>
        <w:jc w:val="both"/>
        <w:rPr>
          <w:szCs w:val="22"/>
        </w:rPr>
      </w:pPr>
    </w:p>
    <w:p w:rsidR="009A5A06" w:rsidRPr="00415535" w:rsidRDefault="009A5A06" w:rsidP="000D05B1">
      <w:pPr>
        <w:jc w:val="both"/>
        <w:rPr>
          <w:szCs w:val="22"/>
        </w:rPr>
      </w:pPr>
    </w:p>
    <w:tbl>
      <w:tblPr>
        <w:tblW w:w="0" w:type="auto"/>
        <w:tblLook w:val="04A0" w:firstRow="1" w:lastRow="0" w:firstColumn="1" w:lastColumn="0" w:noHBand="0" w:noVBand="1"/>
      </w:tblPr>
      <w:tblGrid>
        <w:gridCol w:w="9286"/>
      </w:tblGrid>
      <w:tr w:rsidR="00C649F1" w:rsidTr="007D5EBD">
        <w:tc>
          <w:tcPr>
            <w:tcW w:w="9286" w:type="dxa"/>
          </w:tcPr>
          <w:p w:rsidR="00C649F1" w:rsidRPr="007D5EBD" w:rsidRDefault="00C649F1" w:rsidP="007D5EBD">
            <w:pPr>
              <w:jc w:val="center"/>
              <w:rPr>
                <w:rFonts w:ascii="Arial Narrow" w:hAnsi="Arial Narrow"/>
                <w:b/>
                <w:sz w:val="22"/>
              </w:rPr>
            </w:pPr>
            <w:r w:rsidRPr="007D5EBD">
              <w:rPr>
                <w:rFonts w:ascii="Arial Narrow" w:hAnsi="Arial Narrow"/>
                <w:b/>
                <w:sz w:val="22"/>
              </w:rPr>
              <w:t>Διάγραμμα 1.1  Οικονομική επίπτωση του Covid-19 στην Ελλάδα και την Ευρωζώνη</w:t>
            </w:r>
          </w:p>
          <w:p w:rsidR="00C649F1" w:rsidRPr="007D5EBD" w:rsidRDefault="00C649F1" w:rsidP="007D5EBD">
            <w:pPr>
              <w:jc w:val="center"/>
              <w:rPr>
                <w:szCs w:val="22"/>
              </w:rPr>
            </w:pPr>
            <w:r w:rsidRPr="007D5EBD">
              <w:rPr>
                <w:rFonts w:ascii="Arial Narrow" w:hAnsi="Arial Narrow"/>
                <w:sz w:val="22"/>
              </w:rPr>
              <w:t xml:space="preserve">(% μεταβολές </w:t>
            </w:r>
            <w:r w:rsidR="00F95E63" w:rsidRPr="007D5EBD">
              <w:rPr>
                <w:rFonts w:ascii="Arial Narrow" w:hAnsi="Arial Narrow"/>
                <w:sz w:val="22"/>
              </w:rPr>
              <w:t xml:space="preserve">του ΑΕΠ </w:t>
            </w:r>
            <w:r w:rsidRPr="007D5EBD">
              <w:rPr>
                <w:rFonts w:ascii="Arial Narrow" w:hAnsi="Arial Narrow"/>
                <w:sz w:val="22"/>
              </w:rPr>
              <w:t>έναντι αντίστοιχου τριμήνου προηγούμενου έτους, σταθερές τιμές)</w:t>
            </w:r>
          </w:p>
        </w:tc>
      </w:tr>
      <w:tr w:rsidR="00C649F1" w:rsidTr="007D5EBD">
        <w:tc>
          <w:tcPr>
            <w:tcW w:w="9286" w:type="dxa"/>
          </w:tcPr>
          <w:p w:rsidR="00C649F1" w:rsidRPr="007D5EBD" w:rsidRDefault="00C649F1" w:rsidP="007D5EBD">
            <w:pPr>
              <w:jc w:val="both"/>
              <w:rPr>
                <w:b/>
              </w:rPr>
            </w:pPr>
          </w:p>
          <w:p w:rsidR="00C649F1" w:rsidRPr="00DB34A5" w:rsidRDefault="00C95C9D" w:rsidP="007D5EBD">
            <w:pPr>
              <w:jc w:val="center"/>
            </w:pPr>
            <w:r>
              <w:rPr>
                <w:noProof/>
              </w:rPr>
              <w:pict>
                <v:shape id="Γράφημα 3" o:spid="_x0000_i1026" type="#_x0000_t75" style="width:204.75pt;height:27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">
                  <v:imagedata r:id="rId10" o:title=""/>
                  <o:lock v:ext="edit" aspectratio="f"/>
                </v:shape>
              </w:pict>
            </w:r>
            <w:r>
              <w:rPr>
                <w:noProof/>
              </w:rPr>
              <w:pict>
                <v:shape id="Γράφημα 4" o:spid="_x0000_i1027" type="#_x0000_t75" style="width:209.25pt;height:27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">
                  <v:imagedata r:id="rId11" o:title="" cropbottom="-35f"/>
                  <o:lock v:ext="edit" aspectratio="f"/>
                </v:shape>
              </w:pict>
            </w:r>
          </w:p>
          <w:p w:rsidR="00C649F1" w:rsidRPr="007D5EBD" w:rsidRDefault="00C649F1" w:rsidP="007D5EBD">
            <w:pPr>
              <w:jc w:val="both"/>
              <w:rPr>
                <w:szCs w:val="22"/>
              </w:rPr>
            </w:pPr>
          </w:p>
          <w:p w:rsidR="00C649F1" w:rsidRPr="007D5EBD" w:rsidRDefault="00C649F1" w:rsidP="007D5EBD">
            <w:pPr>
              <w:tabs>
                <w:tab w:val="left" w:pos="142"/>
              </w:tabs>
              <w:ind w:left="993" w:right="423" w:hanging="567"/>
              <w:jc w:val="both"/>
              <w:rPr>
                <w:rFonts w:ascii="Arial Narrow" w:hAnsi="Arial Narrow"/>
                <w:sz w:val="20"/>
                <w:szCs w:val="20"/>
              </w:rPr>
            </w:pPr>
            <w:r w:rsidRPr="007D5EBD">
              <w:rPr>
                <w:rFonts w:ascii="Arial Narrow" w:hAnsi="Arial Narrow"/>
                <w:sz w:val="20"/>
                <w:szCs w:val="20"/>
              </w:rPr>
              <w:t>Πηγή:</w:t>
            </w:r>
            <w:r w:rsidRPr="007D5EBD">
              <w:rPr>
                <w:rFonts w:ascii="Arial Narrow" w:hAnsi="Arial Narrow"/>
                <w:sz w:val="20"/>
                <w:szCs w:val="20"/>
              </w:rPr>
              <w:tab/>
              <w:t>Τριμηνιαίοι Εθνικοί Λογαριασμοί 2</w:t>
            </w:r>
            <w:r w:rsidRPr="007D5EBD">
              <w:rPr>
                <w:rFonts w:ascii="Arial Narrow" w:hAnsi="Arial Narrow"/>
                <w:sz w:val="20"/>
                <w:szCs w:val="20"/>
                <w:vertAlign w:val="superscript"/>
              </w:rPr>
              <w:t>ου</w:t>
            </w:r>
            <w:r w:rsidRPr="007D5EBD">
              <w:rPr>
                <w:rFonts w:ascii="Arial Narrow" w:hAnsi="Arial Narrow"/>
                <w:sz w:val="20"/>
                <w:szCs w:val="20"/>
              </w:rPr>
              <w:t xml:space="preserve"> τριμήνου 2020 (Ελληνική Στατιστική Αρχή), υπολογισμοί Υπουργείου Οικονομικών</w:t>
            </w:r>
          </w:p>
          <w:p w:rsidR="00C649F1" w:rsidRPr="007D5EBD" w:rsidRDefault="00C649F1" w:rsidP="007D5EBD">
            <w:pPr>
              <w:tabs>
                <w:tab w:val="left" w:pos="709"/>
              </w:tabs>
              <w:ind w:left="709" w:right="425" w:hanging="284"/>
              <w:jc w:val="both"/>
              <w:rPr>
                <w:i/>
                <w:sz w:val="20"/>
                <w:szCs w:val="20"/>
              </w:rPr>
            </w:pPr>
            <w:r w:rsidRPr="007D5EBD">
              <w:rPr>
                <w:i/>
                <w:sz w:val="20"/>
                <w:szCs w:val="20"/>
              </w:rPr>
              <w:t>*</w:t>
            </w:r>
            <w:r w:rsidRPr="007D5EBD">
              <w:rPr>
                <w:i/>
                <w:sz w:val="20"/>
                <w:szCs w:val="20"/>
              </w:rPr>
              <w:tab/>
              <w:t>Εκτιμήσεις για την Ελλάδα από το Υπουργείο Οικονομικών, Σεπτέμβριος 2020 (Βασικό μακροοικονομικό σενάριο Προσχεδίου Κρατικού Προϋπολογισμού 2021 έναντι σεναρίου Κρατικού Προϋπολογισμού 2020)</w:t>
            </w:r>
          </w:p>
          <w:p w:rsidR="00C649F1" w:rsidRPr="007D5EBD" w:rsidRDefault="00C649F1" w:rsidP="007D5EBD">
            <w:pPr>
              <w:tabs>
                <w:tab w:val="left" w:pos="709"/>
              </w:tabs>
              <w:ind w:left="709" w:right="425" w:hanging="284"/>
              <w:jc w:val="both"/>
              <w:rPr>
                <w:szCs w:val="22"/>
              </w:rPr>
            </w:pPr>
            <w:r w:rsidRPr="007D5EBD">
              <w:rPr>
                <w:i/>
                <w:sz w:val="20"/>
                <w:szCs w:val="20"/>
              </w:rPr>
              <w:t>*</w:t>
            </w:r>
            <w:r w:rsidRPr="007D5EBD">
              <w:rPr>
                <w:i/>
                <w:sz w:val="20"/>
                <w:szCs w:val="20"/>
              </w:rPr>
              <w:tab/>
              <w:t>Εκτιμήσεις για την Ευρωζώνη από την Ευρωπαϊκή Επιτροπή, Ιούλιος 2020 (Θερινές οικονομικές προβλέψεις Ιουλίου 2020 έναντι Χειμερινών προβλέψεων Φεβρουαρίου 2020)</w:t>
            </w:r>
          </w:p>
        </w:tc>
      </w:tr>
    </w:tbl>
    <w:p w:rsidR="00064F7A" w:rsidRPr="00DF27D1" w:rsidRDefault="00064F7A" w:rsidP="00064F7A">
      <w:pPr>
        <w:suppressAutoHyphens/>
        <w:ind w:right="-58"/>
        <w:jc w:val="both"/>
      </w:pPr>
      <w:bookmarkStart w:id="2" w:name="_Hlk50045320"/>
      <w:r w:rsidRPr="00DF27D1">
        <w:lastRenderedPageBreak/>
        <w:t>Η πραγματική</w:t>
      </w:r>
      <w:r w:rsidRPr="00DF27D1">
        <w:rPr>
          <w:i/>
        </w:rPr>
        <w:t xml:space="preserve"> </w:t>
      </w:r>
      <w:r w:rsidRPr="00DF27D1">
        <w:t xml:space="preserve">ιδιωτική κατανάλωση του δεύτερου τριμήνου 2020 μειώθηκε κατά 11,3% έναντι του </w:t>
      </w:r>
      <w:r>
        <w:t xml:space="preserve">προηγούμενου τριμήνου και κατά </w:t>
      </w:r>
      <w:r w:rsidRPr="00DF27D1">
        <w:t xml:space="preserve">11,6% έναντι του δεύτερου τριμήνου 2019. Σε αυτό συντέλεσε η μείωση του διαθέσιμου εισοδήματος των νοικοκυριών, </w:t>
      </w:r>
      <w:r w:rsidRPr="00DF27D1">
        <w:rPr>
          <w:bCs/>
        </w:rPr>
        <w:t>με τις αμοιβές εξαρτημένης εργασίας να υποχωρούν κατά 7,3% έναντι της αντίστοιχης περιόδου του 2019</w:t>
      </w:r>
      <w:r w:rsidRPr="00DF27D1">
        <w:t xml:space="preserve">, </w:t>
      </w:r>
      <w:r>
        <w:t>ως απόρροια</w:t>
      </w:r>
      <w:r w:rsidRPr="00DF27D1">
        <w:t xml:space="preserve"> </w:t>
      </w:r>
      <w:r>
        <w:t xml:space="preserve">αντίστοιχων </w:t>
      </w:r>
      <w:r w:rsidRPr="00DF27D1">
        <w:t>μειώσ</w:t>
      </w:r>
      <w:r>
        <w:t>εων</w:t>
      </w:r>
      <w:r w:rsidRPr="00DF27D1">
        <w:t xml:space="preserve"> και στους δέκα κλάδους οικονομικής δραστηριότητας. Σε απόλυτα μεγέθη, η μεγαλύτερη μείωση αμοιβών εξαρτημένης εργασίας </w:t>
      </w:r>
      <w:r>
        <w:t>σημειώθηκε</w:t>
      </w:r>
      <w:r w:rsidRPr="00DF27D1">
        <w:t xml:space="preserve"> στους κλάδους α) του χονδρικού και λιανικού εμπορίου, καταλυμάτων και εστίασης, β) των τεχνών και γ) των ορυχείων και της μεταποίησης (60%, 14,8% και 12,8% της συνολικής μείωσης αμοιβών εξαρτημένης εργασίας, αντίστοιχα).</w:t>
      </w:r>
      <w:r>
        <w:t xml:space="preserve"> </w:t>
      </w:r>
    </w:p>
    <w:p w:rsidR="00064F7A" w:rsidRDefault="00064F7A" w:rsidP="00064F7A">
      <w:pPr>
        <w:suppressAutoHyphens/>
        <w:ind w:right="-58"/>
        <w:jc w:val="both"/>
        <w:rPr>
          <w:bCs/>
        </w:rPr>
      </w:pPr>
    </w:p>
    <w:p w:rsidR="00064F7A" w:rsidRPr="00DF27D1" w:rsidRDefault="00064F7A" w:rsidP="00064F7A">
      <w:pPr>
        <w:suppressAutoHyphens/>
        <w:ind w:right="-58"/>
        <w:jc w:val="both"/>
        <w:rPr>
          <w:bCs/>
        </w:rPr>
      </w:pPr>
      <w:r w:rsidRPr="00DF27D1">
        <w:rPr>
          <w:bCs/>
        </w:rPr>
        <w:t xml:space="preserve">Μετά την επενδυτική κάμψη </w:t>
      </w:r>
      <w:r>
        <w:rPr>
          <w:bCs/>
        </w:rPr>
        <w:t>στο πρώτο</w:t>
      </w:r>
      <w:r w:rsidRPr="00DF27D1">
        <w:rPr>
          <w:bCs/>
        </w:rPr>
        <w:t xml:space="preserve"> τρίμηνο </w:t>
      </w:r>
      <w:r>
        <w:rPr>
          <w:bCs/>
        </w:rPr>
        <w:t>του 2020, η οποία αντανακλά την επιδείνωση του οικονομικού κλίματος τον Μάρτιο του 2020 λόγω της</w:t>
      </w:r>
      <w:r w:rsidRPr="00DF27D1">
        <w:rPr>
          <w:bCs/>
        </w:rPr>
        <w:t xml:space="preserve"> πανδημίας,</w:t>
      </w:r>
      <w:r w:rsidRPr="00DF27D1">
        <w:t xml:space="preserve"> ο όγκος ακαθάριστου σχηματισμού παγίου κεφαλαίου στο </w:t>
      </w:r>
      <w:r>
        <w:t xml:space="preserve">δεύτερο τρίμηνο 2020 έδειξε ανθεκτικότητα, παρά την αναστολή της οικονομικής δραστηριότητας </w:t>
      </w:r>
      <w:r w:rsidRPr="00DF27D1">
        <w:t xml:space="preserve">(-2,0% έναντι του προηγούμενου τριμήνου και </w:t>
      </w:r>
      <w:r w:rsidR="002F6679">
        <w:t xml:space="preserve">    </w:t>
      </w:r>
      <w:r w:rsidRPr="00DF27D1">
        <w:t>-10,3% έναντι του δεύτερου τριμήνου του 2019</w:t>
      </w:r>
      <w:r>
        <w:t xml:space="preserve">). Αυτό προέκυψε από </w:t>
      </w:r>
      <w:r w:rsidRPr="00DF27D1">
        <w:t xml:space="preserve">την </w:t>
      </w:r>
      <w:r w:rsidRPr="00DF27D1">
        <w:rPr>
          <w:bCs/>
        </w:rPr>
        <w:t>αξιοσημείωτα ανοδική πορεία των κατασκευών</w:t>
      </w:r>
      <w:r w:rsidRPr="00DF27D1">
        <w:t>,</w:t>
      </w:r>
      <w:r w:rsidRPr="00DF27D1">
        <w:rPr>
          <w:bCs/>
        </w:rPr>
        <w:t xml:space="preserve"> που συνεχίστηκε για τρίτο συνεχόμενο τρίμηνο (+32,5% </w:t>
      </w:r>
      <w:r w:rsidRPr="00DF27D1">
        <w:t>έναντι του δεύτερου τριμήνου του 2019</w:t>
      </w:r>
      <w:r w:rsidRPr="00DF27D1">
        <w:rPr>
          <w:bCs/>
        </w:rPr>
        <w:t xml:space="preserve">), τόσο στις κατοικίες (+34,5%) όσο και στις άλλες κατασκευές (+32,0%), εν μέσω </w:t>
      </w:r>
      <w:r>
        <w:rPr>
          <w:bCs/>
        </w:rPr>
        <w:t xml:space="preserve">της </w:t>
      </w:r>
      <w:r w:rsidRPr="00DF27D1">
        <w:rPr>
          <w:bCs/>
        </w:rPr>
        <w:t xml:space="preserve">καλής εκτέλεσης του Προγράμματος Δημοσίων Επενδύσεων. </w:t>
      </w:r>
    </w:p>
    <w:p w:rsidR="00064F7A" w:rsidRDefault="00064F7A" w:rsidP="00064F7A">
      <w:pPr>
        <w:widowControl w:val="0"/>
        <w:suppressAutoHyphens/>
        <w:ind w:right="-7"/>
        <w:jc w:val="both"/>
        <w:rPr>
          <w:bCs/>
        </w:rPr>
      </w:pPr>
    </w:p>
    <w:p w:rsidR="00064F7A" w:rsidRPr="00DF27D1" w:rsidRDefault="00064F7A" w:rsidP="00064F7A">
      <w:pPr>
        <w:widowControl w:val="0"/>
        <w:suppressAutoHyphens/>
        <w:ind w:right="-7"/>
        <w:jc w:val="both"/>
        <w:rPr>
          <w:bCs/>
        </w:rPr>
      </w:pPr>
      <w:r w:rsidRPr="00DF27D1">
        <w:rPr>
          <w:bCs/>
        </w:rPr>
        <w:t xml:space="preserve">Από την άλλη πλευρά, οι πραγματικές επενδύσεις σε εξοπλισμό μειώθηκαν (-25,6%), όπως ήταν αναμενόμενο εν μέσω </w:t>
      </w:r>
      <w:r>
        <w:rPr>
          <w:bCs/>
        </w:rPr>
        <w:t>των δευτερογενών επιπτώσεων της πανδημίας στη ζήτηση στο σύνολο της οικονομίας</w:t>
      </w:r>
      <w:r w:rsidRPr="00DF27D1">
        <w:rPr>
          <w:bCs/>
        </w:rPr>
        <w:t>.</w:t>
      </w:r>
      <w:r w:rsidRPr="00DF27D1">
        <w:rPr>
          <w:b/>
        </w:rPr>
        <w:t xml:space="preserve"> </w:t>
      </w:r>
      <w:r w:rsidRPr="00DF27D1">
        <w:rPr>
          <w:bCs/>
        </w:rPr>
        <w:t>Μεγαλύτερη ήταν η πτώση του όγκου επενδύσεων σ</w:t>
      </w:r>
      <w:r>
        <w:rPr>
          <w:bCs/>
        </w:rPr>
        <w:t>ε μεταφορικό εξοπλισμό (-63,3%)</w:t>
      </w:r>
      <w:r w:rsidRPr="00DF27D1">
        <w:rPr>
          <w:bCs/>
        </w:rPr>
        <w:t xml:space="preserve"> και μετριοπαθέστερη σε μηχανολογικό εξοπλισμό (-6,7%), ενώ οι επενδύσεις σε εξοπλισμό τεχνολογίας αυξήθηκαν κατά 6,0%, </w:t>
      </w:r>
      <w:r>
        <w:rPr>
          <w:bCs/>
        </w:rPr>
        <w:t>αντανακλώντας την</w:t>
      </w:r>
      <w:r w:rsidRPr="00DF27D1">
        <w:rPr>
          <w:bCs/>
        </w:rPr>
        <w:t xml:space="preserve"> επίδραση του μέτρου της </w:t>
      </w:r>
      <w:proofErr w:type="spellStart"/>
      <w:r w:rsidRPr="00DF27D1">
        <w:rPr>
          <w:bCs/>
        </w:rPr>
        <w:t>τηλε</w:t>
      </w:r>
      <w:proofErr w:type="spellEnd"/>
      <w:r w:rsidRPr="00DF27D1">
        <w:rPr>
          <w:bCs/>
        </w:rPr>
        <w:t xml:space="preserve">-εργασίας. Οι επενδύσεις σε αγροτικά και άλλα προϊόντα κινήθηκαν αρνητικά κατά 8,2%. </w:t>
      </w:r>
    </w:p>
    <w:p w:rsidR="00064F7A" w:rsidRDefault="00064F7A" w:rsidP="00064F7A">
      <w:pPr>
        <w:suppressAutoHyphens/>
        <w:ind w:right="-58"/>
        <w:jc w:val="both"/>
        <w:rPr>
          <w:bCs/>
        </w:rPr>
      </w:pPr>
    </w:p>
    <w:p w:rsidR="00064F7A" w:rsidRPr="00DF27D1" w:rsidRDefault="00064F7A" w:rsidP="00064F7A">
      <w:pPr>
        <w:suppressAutoHyphens/>
        <w:ind w:right="-58"/>
        <w:jc w:val="both"/>
        <w:rPr>
          <w:i/>
        </w:rPr>
      </w:pPr>
      <w:r w:rsidRPr="00DF27D1">
        <w:rPr>
          <w:bCs/>
        </w:rPr>
        <w:t xml:space="preserve">Ο όγκος δημόσιας κατανάλωσης συνέχισε να αυξάνεται </w:t>
      </w:r>
      <w:r w:rsidRPr="00DF27D1">
        <w:t xml:space="preserve">στο </w:t>
      </w:r>
      <w:r>
        <w:t xml:space="preserve">δεύτερο τρίμηνο 2020 </w:t>
      </w:r>
      <w:r w:rsidRPr="00DF27D1">
        <w:rPr>
          <w:bCs/>
        </w:rPr>
        <w:t xml:space="preserve">έναντι του προηγούμενου τριμήνου (+1,5%), εν μέσω των αυξημένων δαπανών για την αντιμετώπιση των επιπτώσεων του </w:t>
      </w:r>
      <w:r w:rsidRPr="00DF27D1">
        <w:rPr>
          <w:bCs/>
          <w:lang w:val="en-US"/>
        </w:rPr>
        <w:t>lockdown</w:t>
      </w:r>
      <w:r w:rsidR="00B35338">
        <w:rPr>
          <w:bCs/>
        </w:rPr>
        <w:t>.</w:t>
      </w:r>
    </w:p>
    <w:p w:rsidR="00064F7A" w:rsidRDefault="00064F7A" w:rsidP="00064F7A">
      <w:pPr>
        <w:suppressAutoHyphens/>
        <w:ind w:right="-58"/>
        <w:jc w:val="both"/>
        <w:rPr>
          <w:bCs/>
        </w:rPr>
      </w:pPr>
    </w:p>
    <w:p w:rsidR="00064F7A" w:rsidRPr="00DF27D1" w:rsidRDefault="00064F7A" w:rsidP="00064F7A">
      <w:pPr>
        <w:suppressAutoHyphens/>
        <w:ind w:right="-58"/>
        <w:jc w:val="both"/>
        <w:rPr>
          <w:bCs/>
        </w:rPr>
      </w:pPr>
      <w:r w:rsidRPr="00235EB0">
        <w:rPr>
          <w:bCs/>
        </w:rPr>
        <w:t>Τόσο</w:t>
      </w:r>
      <w:r w:rsidRPr="00DF27D1">
        <w:rPr>
          <w:bCs/>
        </w:rPr>
        <w:t xml:space="preserve"> οι πραγματικές εξαγωγές αγαθών και υπηρεσιών όσο και οι εισαγωγές υπέστησαν σημαντική μείωση (-32,1% και -17,2% αντίστοιχα</w:t>
      </w:r>
      <w:r>
        <w:rPr>
          <w:bCs/>
        </w:rPr>
        <w:t>)</w:t>
      </w:r>
      <w:r w:rsidRPr="00DF27D1">
        <w:rPr>
          <w:bCs/>
        </w:rPr>
        <w:t xml:space="preserve"> </w:t>
      </w:r>
      <w:r w:rsidRPr="00DF27D1">
        <w:t>έναντι του δεύτερου τριμήνου του 2019</w:t>
      </w:r>
      <w:r w:rsidRPr="00DF27D1">
        <w:rPr>
          <w:bCs/>
        </w:rPr>
        <w:t>, με τις πραγματικές εξαγωγές υπηρεσιών να συρρικνώνονται (-49,4%) υπό το βάρος της απαγόρευσης μετακ</w:t>
      </w:r>
      <w:r>
        <w:rPr>
          <w:bCs/>
        </w:rPr>
        <w:t>ινήσεων διεθνώς και της επίπτωσή</w:t>
      </w:r>
      <w:r w:rsidRPr="00DF27D1">
        <w:rPr>
          <w:bCs/>
        </w:rPr>
        <w:t xml:space="preserve">ς της στον τουρισμό και τις μεταφορές. Παρόλα αυτά, η συρρίκνωση των εξαγωγών υπηρεσιών αποδεικνύεται μικρότερης έντασης από την </w:t>
      </w:r>
      <w:r>
        <w:rPr>
          <w:bCs/>
        </w:rPr>
        <w:t>προηγουμένως εκτιμώμενη</w:t>
      </w:r>
      <w:r w:rsidRPr="00DF27D1">
        <w:rPr>
          <w:bCs/>
        </w:rPr>
        <w:t xml:space="preserve"> για το τρίμηνο, </w:t>
      </w:r>
      <w:r>
        <w:rPr>
          <w:bCs/>
        </w:rPr>
        <w:t xml:space="preserve">με την απόκλιση να εκτιμάται ότι οφείλεται στη σχετική </w:t>
      </w:r>
      <w:r w:rsidRPr="00DF27D1">
        <w:rPr>
          <w:bCs/>
        </w:rPr>
        <w:t xml:space="preserve">ανθεκτικότητα </w:t>
      </w:r>
      <w:r>
        <w:rPr>
          <w:bCs/>
        </w:rPr>
        <w:t>της ναυτιλίας</w:t>
      </w:r>
      <w:r w:rsidRPr="00DF27D1">
        <w:rPr>
          <w:bCs/>
        </w:rPr>
        <w:t xml:space="preserve"> και </w:t>
      </w:r>
      <w:r>
        <w:rPr>
          <w:bCs/>
        </w:rPr>
        <w:t xml:space="preserve">των </w:t>
      </w:r>
      <w:r w:rsidRPr="00DF27D1">
        <w:rPr>
          <w:bCs/>
        </w:rPr>
        <w:t xml:space="preserve">λοιπών υπηρεσιών στη δυσμενή διεθνή συγκυρία. </w:t>
      </w:r>
    </w:p>
    <w:p w:rsidR="00064F7A" w:rsidRDefault="00064F7A" w:rsidP="00064F7A">
      <w:pPr>
        <w:suppressAutoHyphens/>
        <w:ind w:right="-58"/>
        <w:jc w:val="both"/>
      </w:pPr>
    </w:p>
    <w:p w:rsidR="00064F7A" w:rsidRPr="00DF27D1" w:rsidRDefault="00064F7A" w:rsidP="00064F7A">
      <w:pPr>
        <w:suppressAutoHyphens/>
        <w:ind w:right="-58"/>
        <w:jc w:val="both"/>
        <w:rPr>
          <w:i/>
        </w:rPr>
      </w:pPr>
      <w:r w:rsidRPr="00DF27D1">
        <w:t>Η συνολική συμβολή του εξωτερικού τομέα στη μεταβολή του ετήσιου ΑΕΠ στο δεύτερο τρίμηνο του 2020</w:t>
      </w:r>
      <w:r>
        <w:t xml:space="preserve"> </w:t>
      </w:r>
      <w:r w:rsidRPr="00DF27D1">
        <w:t xml:space="preserve">ήταν αρνητική, στο -1,3% του ετήσιου ΑΕΠ, λόγω της αρνητικής πορείας του ισοζυγίου υπηρεσιών, που αντιστάθμισε τη θετική συμβολή του ισοζυγίου αγαθών (0,4% του ετήσιου ΑΕΠ). </w:t>
      </w:r>
    </w:p>
    <w:p w:rsidR="00064F7A" w:rsidRDefault="00064F7A" w:rsidP="00064F7A">
      <w:pPr>
        <w:suppressAutoHyphens/>
        <w:ind w:right="-58"/>
        <w:jc w:val="both"/>
      </w:pPr>
    </w:p>
    <w:p w:rsidR="00064F7A" w:rsidRPr="00DF27D1" w:rsidRDefault="00064F7A" w:rsidP="00064F7A">
      <w:pPr>
        <w:suppressAutoHyphens/>
        <w:ind w:right="-58"/>
        <w:jc w:val="both"/>
      </w:pPr>
      <w:r w:rsidRPr="00DF27D1">
        <w:t xml:space="preserve">Σε όρους ονομαστικού ΑΕΠ, η ύφεση στο δεύτερο τρίμηνο του έτους διαμορφώθηκε σε </w:t>
      </w:r>
      <w:r>
        <w:t>μεγαλύτερο</w:t>
      </w:r>
      <w:r w:rsidRPr="00DF27D1">
        <w:t xml:space="preserve"> επίπεδο από ό,τι σε όρους όγκου, στο -16,9% έναντι του αντίστοιχου τριμήνου του 2019 και -14,7% έναντι του προηγούμενου τριμήνου. Αυτό αντανακλάται στον </w:t>
      </w:r>
      <w:r w:rsidRPr="00DF27D1">
        <w:rPr>
          <w:bCs/>
        </w:rPr>
        <w:t xml:space="preserve">σημαντικά </w:t>
      </w:r>
      <w:r w:rsidRPr="00DF27D1">
        <w:rPr>
          <w:bCs/>
        </w:rPr>
        <w:lastRenderedPageBreak/>
        <w:t xml:space="preserve">αρνητικό ρυθμό </w:t>
      </w:r>
      <w:proofErr w:type="spellStart"/>
      <w:r w:rsidRPr="00DF27D1">
        <w:rPr>
          <w:bCs/>
        </w:rPr>
        <w:t>αποπληθωριστή</w:t>
      </w:r>
      <w:proofErr w:type="spellEnd"/>
      <w:r w:rsidRPr="00DF27D1">
        <w:rPr>
          <w:bCs/>
        </w:rPr>
        <w:t xml:space="preserve"> ΑΕΠ για το τρίμηνο (-2,0% έναντι του </w:t>
      </w:r>
      <w:r w:rsidRPr="00DF27D1">
        <w:t>αντίστοιχου τριμήνου του 2019)</w:t>
      </w:r>
      <w:r w:rsidRPr="00DF27D1">
        <w:rPr>
          <w:vertAlign w:val="superscript"/>
        </w:rPr>
        <w:footnoteReference w:id="8"/>
      </w:r>
      <w:r w:rsidRPr="00DF27D1">
        <w:t>.</w:t>
      </w:r>
      <w:r>
        <w:t xml:space="preserve"> </w:t>
      </w:r>
    </w:p>
    <w:bookmarkEnd w:id="2"/>
    <w:p w:rsidR="00064F7A" w:rsidRDefault="00064F7A" w:rsidP="00064F7A">
      <w:pPr>
        <w:suppressAutoHyphens/>
        <w:ind w:right="-58"/>
        <w:jc w:val="both"/>
      </w:pPr>
    </w:p>
    <w:p w:rsidR="00064F7A" w:rsidRPr="00932515" w:rsidRDefault="00064F7A" w:rsidP="00064F7A">
      <w:pPr>
        <w:suppressAutoHyphens/>
        <w:ind w:right="-58"/>
        <w:jc w:val="both"/>
      </w:pPr>
      <w:r>
        <w:t>Όσον αφορά το</w:t>
      </w:r>
      <w:r w:rsidRPr="00DF27D1">
        <w:t xml:space="preserve"> σύνολο του πρώτου εξαμήνου του 2020</w:t>
      </w:r>
      <w:r>
        <w:t>, η</w:t>
      </w:r>
      <w:r w:rsidRPr="00DF27D1">
        <w:t xml:space="preserve"> συμβολή κάθε συνιστώσας </w:t>
      </w:r>
      <w:r>
        <w:t>του ΑΕΠ</w:t>
      </w:r>
      <w:r w:rsidRPr="00DF27D1">
        <w:t xml:space="preserve"> </w:t>
      </w:r>
      <w:r>
        <w:t>στη μεταβολή του όγκου του εγχώριου προϊόντος</w:t>
      </w:r>
      <w:r w:rsidRPr="00DF27D1">
        <w:t xml:space="preserve"> παρουσιάζεται στο διάγραμμα 1.2. </w:t>
      </w:r>
    </w:p>
    <w:p w:rsidR="00356245" w:rsidRPr="00415535" w:rsidRDefault="00356245" w:rsidP="00064F7A">
      <w:pPr>
        <w:jc w:val="both"/>
      </w:pPr>
    </w:p>
    <w:p w:rsidR="009A5A06" w:rsidRPr="00415535" w:rsidRDefault="009A5A06" w:rsidP="009A5A06">
      <w:pPr>
        <w:jc w:val="both"/>
        <w:rPr>
          <w:szCs w:val="22"/>
        </w:rPr>
      </w:pPr>
    </w:p>
    <w:p w:rsidR="009A5A06" w:rsidRPr="00415535" w:rsidRDefault="009A5A06" w:rsidP="009A5A06">
      <w:pPr>
        <w:jc w:val="both"/>
        <w:rPr>
          <w:szCs w:val="22"/>
        </w:rPr>
      </w:pPr>
    </w:p>
    <w:tbl>
      <w:tblPr>
        <w:tblW w:w="0" w:type="auto"/>
        <w:tblLook w:val="04A0" w:firstRow="1" w:lastRow="0" w:firstColumn="1" w:lastColumn="0" w:noHBand="0" w:noVBand="1"/>
      </w:tblPr>
      <w:tblGrid>
        <w:gridCol w:w="9286"/>
      </w:tblGrid>
      <w:tr w:rsidR="009A5A06" w:rsidTr="007D5EBD">
        <w:tc>
          <w:tcPr>
            <w:tcW w:w="9286" w:type="dxa"/>
          </w:tcPr>
          <w:p w:rsidR="009A5A06" w:rsidRPr="007D5EBD" w:rsidRDefault="009A5A06" w:rsidP="007D5EBD">
            <w:pPr>
              <w:jc w:val="center"/>
              <w:rPr>
                <w:rFonts w:ascii="Arial Narrow" w:hAnsi="Arial Narrow"/>
                <w:b/>
                <w:sz w:val="22"/>
                <w:szCs w:val="22"/>
              </w:rPr>
            </w:pPr>
            <w:r w:rsidRPr="007D5EBD">
              <w:rPr>
                <w:rFonts w:ascii="Arial Narrow" w:hAnsi="Arial Narrow"/>
                <w:b/>
                <w:sz w:val="22"/>
                <w:szCs w:val="22"/>
              </w:rPr>
              <w:t xml:space="preserve">Διάγραμμα 1.2 Συμβολή των συνιστωσών ΑΕΠ στον ρυθμό ανάπτυξης, </w:t>
            </w:r>
          </w:p>
          <w:p w:rsidR="009A5A06" w:rsidRPr="007D5EBD" w:rsidRDefault="009A5A06" w:rsidP="007D5EBD">
            <w:pPr>
              <w:jc w:val="center"/>
              <w:rPr>
                <w:rFonts w:ascii="Arial Narrow" w:hAnsi="Arial Narrow"/>
                <w:b/>
                <w:sz w:val="22"/>
                <w:szCs w:val="22"/>
              </w:rPr>
            </w:pPr>
            <w:r w:rsidRPr="007D5EBD">
              <w:rPr>
                <w:rFonts w:ascii="Arial Narrow" w:hAnsi="Arial Narrow"/>
                <w:b/>
                <w:sz w:val="22"/>
                <w:szCs w:val="22"/>
              </w:rPr>
              <w:t>πρώτο εξάμηνο 2020</w:t>
            </w:r>
          </w:p>
          <w:p w:rsidR="009A5A06" w:rsidRPr="007D5EBD" w:rsidRDefault="009A5A06" w:rsidP="007D5EBD">
            <w:pPr>
              <w:jc w:val="center"/>
              <w:rPr>
                <w:szCs w:val="22"/>
              </w:rPr>
            </w:pPr>
            <w:r w:rsidRPr="007D5EBD">
              <w:rPr>
                <w:rFonts w:ascii="Arial Narrow" w:hAnsi="Arial Narrow"/>
                <w:sz w:val="22"/>
                <w:szCs w:val="22"/>
              </w:rPr>
              <w:t>(% ΑΕΠ πρώτου εξαμήνου προηγούμενου έτους, σε σταθερές τιμές)</w:t>
            </w:r>
          </w:p>
        </w:tc>
      </w:tr>
      <w:tr w:rsidR="009A5A06" w:rsidTr="007D5EBD">
        <w:tc>
          <w:tcPr>
            <w:tcW w:w="9286" w:type="dxa"/>
          </w:tcPr>
          <w:p w:rsidR="009A5A06" w:rsidRPr="007D5EBD" w:rsidRDefault="009A5A06" w:rsidP="007D5EBD">
            <w:pPr>
              <w:jc w:val="both"/>
              <w:rPr>
                <w:szCs w:val="22"/>
              </w:rPr>
            </w:pPr>
          </w:p>
          <w:p w:rsidR="009A5A06" w:rsidRPr="007D5EBD" w:rsidRDefault="00C95C9D" w:rsidP="007D5EBD">
            <w:pPr>
              <w:tabs>
                <w:tab w:val="left" w:pos="709"/>
              </w:tabs>
              <w:ind w:left="709" w:right="425" w:hanging="284"/>
              <w:jc w:val="both"/>
              <w:rPr>
                <w:szCs w:val="22"/>
              </w:rPr>
            </w:pPr>
            <w:r>
              <w:rPr>
                <w:noProof/>
                <w:szCs w:val="22"/>
              </w:rPr>
              <w:pict>
                <v:shape id="Γράφημα 1" o:spid="_x0000_i1028" type="#_x0000_t75" style="width:417pt;height:271.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">
                  <v:imagedata r:id="rId12" o:title=""/>
                  <o:lock v:ext="edit" aspectratio="f"/>
                </v:shape>
              </w:pict>
            </w:r>
          </w:p>
          <w:p w:rsidR="009A5A06" w:rsidRPr="007D5EBD" w:rsidRDefault="009A5A06" w:rsidP="007D5EBD">
            <w:pPr>
              <w:tabs>
                <w:tab w:val="left" w:pos="709"/>
              </w:tabs>
              <w:ind w:left="709" w:right="425" w:hanging="284"/>
              <w:jc w:val="both"/>
              <w:rPr>
                <w:rFonts w:ascii="Arial Narrow" w:hAnsi="Arial Narrow"/>
                <w:sz w:val="20"/>
                <w:szCs w:val="20"/>
              </w:rPr>
            </w:pPr>
            <w:r w:rsidRPr="007D5EBD">
              <w:rPr>
                <w:rFonts w:ascii="Arial Narrow" w:hAnsi="Arial Narrow"/>
                <w:sz w:val="20"/>
                <w:szCs w:val="20"/>
              </w:rPr>
              <w:t>Πηγή:  Τριμηνιαίοι Εθνικοί Λογαριασμοί 2ου τριμήνου 2020 (Ελληνική Στατιστική Αρχή).</w:t>
            </w:r>
          </w:p>
        </w:tc>
      </w:tr>
    </w:tbl>
    <w:p w:rsidR="009A5A06" w:rsidRDefault="009A5A06" w:rsidP="009A5A06">
      <w:pPr>
        <w:jc w:val="both"/>
        <w:rPr>
          <w:szCs w:val="22"/>
        </w:rPr>
      </w:pPr>
    </w:p>
    <w:p w:rsidR="009A5A06" w:rsidRPr="009A5A06" w:rsidRDefault="009A5A06" w:rsidP="00064F7A">
      <w:pPr>
        <w:jc w:val="both"/>
      </w:pPr>
    </w:p>
    <w:p w:rsidR="00064F7A" w:rsidRDefault="00064F7A" w:rsidP="00064F7A">
      <w:pPr>
        <w:jc w:val="both"/>
      </w:pPr>
      <w:r w:rsidRPr="00DF27D1">
        <w:t>Το μέγεθος της ύφεσης του δεύτερου τριμήνου</w:t>
      </w:r>
      <w:r>
        <w:t xml:space="preserve"> εκτιμάται ότι </w:t>
      </w:r>
      <w:r w:rsidRPr="00DF27D1">
        <w:t xml:space="preserve">θα ήταν </w:t>
      </w:r>
      <w:r>
        <w:t>σημαντικά</w:t>
      </w:r>
      <w:r w:rsidRPr="00DF27D1">
        <w:t xml:space="preserve"> μεγαλύτερο χωρίς τα μέτρα στήριξης της ελληνικής οικονομίας</w:t>
      </w:r>
      <w:r>
        <w:t>,</w:t>
      </w:r>
      <w:r w:rsidRPr="00DF27D1">
        <w:t xml:space="preserve"> που εφαρμόστηκαν </w:t>
      </w:r>
      <w:r>
        <w:t>προς</w:t>
      </w:r>
      <w:r w:rsidRPr="00DF27D1">
        <w:t xml:space="preserve"> αντιστάθμιση της επίδρασης των μέτρων </w:t>
      </w:r>
      <w:r>
        <w:t>κοινωνικής αποστασιοποίησης</w:t>
      </w:r>
      <w:r w:rsidRPr="00DF27D1">
        <w:t xml:space="preserve">. Από την εξαγγελία του πρώτου πακέτου μέτρων έως σήμερα, τα μέτρα στήριξης </w:t>
      </w:r>
      <w:r>
        <w:t xml:space="preserve">(δημοσιονομικά, αναβολής φόρων και ρευστότητας) </w:t>
      </w:r>
      <w:r w:rsidRPr="00DF27D1">
        <w:t xml:space="preserve">αποτιμούνται σε </w:t>
      </w:r>
      <w:r>
        <w:t>21,5</w:t>
      </w:r>
      <w:r w:rsidRPr="00DF27D1">
        <w:t xml:space="preserve"> </w:t>
      </w:r>
      <w:r>
        <w:t>δισ</w:t>
      </w:r>
      <w:r w:rsidRPr="00DF27D1">
        <w:t>. ευρώ συνολικά για το 2020, με τη</w:t>
      </w:r>
      <w:r>
        <w:t xml:space="preserve"> θετική</w:t>
      </w:r>
      <w:r w:rsidRPr="00DF27D1">
        <w:t xml:space="preserve"> επίδρασ</w:t>
      </w:r>
      <w:r>
        <w:t>ή</w:t>
      </w:r>
      <w:r w:rsidRPr="00DF27D1">
        <w:t xml:space="preserve"> τους στην οικονομία να εκτιμάται σε 6,0% του ΑΕΠ.</w:t>
      </w:r>
    </w:p>
    <w:p w:rsidR="00064F7A" w:rsidRDefault="00064F7A" w:rsidP="00064F7A">
      <w:pPr>
        <w:jc w:val="both"/>
      </w:pPr>
    </w:p>
    <w:p w:rsidR="00064F7A" w:rsidRPr="00DF27D1" w:rsidRDefault="00064F7A" w:rsidP="00064F7A">
      <w:pPr>
        <w:jc w:val="both"/>
      </w:pPr>
      <w:r>
        <w:t xml:space="preserve">Από </w:t>
      </w:r>
      <w:r w:rsidRPr="00DF27D1">
        <w:t>τον Μάρτιο του 2020</w:t>
      </w:r>
      <w:r>
        <w:t xml:space="preserve">, </w:t>
      </w:r>
      <w:r w:rsidRPr="00DF27D1">
        <w:t>η Ευρωπαϊκή Επιτροπή έλαβε</w:t>
      </w:r>
      <w:r>
        <w:t xml:space="preserve"> αντίστοιχες</w:t>
      </w:r>
      <w:r w:rsidRPr="00DF27D1">
        <w:t xml:space="preserve"> σημαντικές πρωτοβουλίες </w:t>
      </w:r>
      <w:r>
        <w:t>γ</w:t>
      </w:r>
      <w:r w:rsidRPr="00DF27D1">
        <w:t xml:space="preserve">ια την αντιμετώπιση του οικονομικού σκέλους της κρίσης, που έδωσαν επιπρόσθετους βαθμούς ελευθερίας στις εθνικές κυβερνήσεις για την παροχή στήριξης στις οικονομίες τους, μέσω των δημοσιονομικών μέτρων και των μέτρων ρευστότητας και εγγυήσεων που εφάρμοσαν. Μεταξύ των πρωτοβουλιών της Ευρωπαϊκής Επιτροπής, </w:t>
      </w:r>
      <w:r>
        <w:t>πρωτεύοντα</w:t>
      </w:r>
      <w:r w:rsidRPr="00DF27D1">
        <w:t xml:space="preserve"> ρόλο είχε η χαλά</w:t>
      </w:r>
      <w:r w:rsidRPr="00DF27D1">
        <w:lastRenderedPageBreak/>
        <w:t>ρωση των ευρωπαϊκών δημοσιονομικών κανόνων για το 2020</w:t>
      </w:r>
      <w:r w:rsidRPr="00DF27D1">
        <w:rPr>
          <w:rStyle w:val="FootnoteReference"/>
        </w:rPr>
        <w:footnoteReference w:id="9"/>
      </w:r>
      <w:r w:rsidRPr="00DF27D1">
        <w:t xml:space="preserve">, δεδομένου ότι </w:t>
      </w:r>
      <w:r>
        <w:t>η</w:t>
      </w:r>
      <w:r w:rsidRPr="00DF27D1">
        <w:rPr>
          <w:color w:val="000000"/>
        </w:rPr>
        <w:t xml:space="preserve"> κάμψη της οικονομικής δραστηριότητας</w:t>
      </w:r>
      <w:r>
        <w:rPr>
          <w:color w:val="000000"/>
        </w:rPr>
        <w:t xml:space="preserve"> σε συνδυασμό με το κόστος των μέτρων ενίσχυσης της οικονομίας</w:t>
      </w:r>
      <w:r w:rsidRPr="00DF27D1">
        <w:rPr>
          <w:color w:val="000000"/>
        </w:rPr>
        <w:t xml:space="preserve">, </w:t>
      </w:r>
      <w:r>
        <w:rPr>
          <w:color w:val="000000"/>
        </w:rPr>
        <w:t>ήταν</w:t>
      </w:r>
      <w:r w:rsidRPr="00DF27D1">
        <w:rPr>
          <w:color w:val="000000"/>
        </w:rPr>
        <w:t xml:space="preserve"> προδιαγεγραμμένο ότι θα επιφέρουν σημαντική αύξηση των δημοσιονομικών ελλειμμάτων των κρατών-μελών.</w:t>
      </w:r>
      <w:r w:rsidRPr="00DF27D1">
        <w:t xml:space="preserve"> Η χαλάρωση των δημοσιονομικών στόχων έλαβε χώρα αρχικά μέσω της διάταξης του Συμφώνου Σταθερότητας και Ανάπτυξης για ασυνήθεις περιστάσεις, και στη συνέχεια μέσω της γενικής ρήτρας διαφυγής</w:t>
      </w:r>
      <w:r w:rsidRPr="00DF27D1">
        <w:rPr>
          <w:rStyle w:val="FootnoteReference"/>
        </w:rPr>
        <w:footnoteReference w:id="10"/>
      </w:r>
      <w:r w:rsidRPr="00DF27D1">
        <w:t>, η οποία ενεργοποιήθηκε για πρώτη φορά από τη θέσπισή της το 2011</w:t>
      </w:r>
      <w:r w:rsidRPr="00DF27D1">
        <w:rPr>
          <w:rStyle w:val="FootnoteReference"/>
          <w:color w:val="000000"/>
        </w:rPr>
        <w:footnoteReference w:id="11"/>
      </w:r>
      <w:r w:rsidRPr="00DF27D1">
        <w:t xml:space="preserve">. </w:t>
      </w:r>
    </w:p>
    <w:p w:rsidR="00227EC0" w:rsidRDefault="00227EC0" w:rsidP="000D05B1">
      <w:pPr>
        <w:jc w:val="both"/>
        <w:rPr>
          <w:szCs w:val="22"/>
        </w:rPr>
      </w:pPr>
    </w:p>
    <w:p w:rsidR="004F70E9" w:rsidRPr="004F70E9" w:rsidRDefault="004F70E9" w:rsidP="004F70E9">
      <w:pPr>
        <w:jc w:val="both"/>
        <w:rPr>
          <w:szCs w:val="22"/>
        </w:rPr>
      </w:pPr>
      <w:r w:rsidRPr="004F70E9">
        <w:rPr>
          <w:szCs w:val="22"/>
        </w:rPr>
        <w:t xml:space="preserve">Η ως άνω εξέλιξη αναστέλλει την υποχρέωση της Ελλάδας για επίτευξη του στόχου πρωτογενούς πλεονάσματος της Γενικής Κυβέρνησης ίσου με 3,5% του ΑΕΠ για το τρέχον έτος, διευκολύνοντας τη λήψη μέτρων στήριξης της οικονομίας λόγω πανδημίας. </w:t>
      </w:r>
    </w:p>
    <w:p w:rsidR="004F70E9" w:rsidRDefault="004F70E9" w:rsidP="004F70E9">
      <w:pPr>
        <w:jc w:val="both"/>
        <w:rPr>
          <w:szCs w:val="22"/>
        </w:rPr>
      </w:pPr>
    </w:p>
    <w:p w:rsidR="004F70E9" w:rsidRPr="004F70E9" w:rsidRDefault="004F70E9" w:rsidP="004F70E9">
      <w:pPr>
        <w:jc w:val="both"/>
        <w:rPr>
          <w:szCs w:val="22"/>
        </w:rPr>
      </w:pPr>
      <w:r w:rsidRPr="004F70E9">
        <w:rPr>
          <w:szCs w:val="22"/>
        </w:rPr>
        <w:t>Δεδομένης της συνεπαγόμενης επιβάρυνσης του δημοσιονομικού αποτελέσματος και του ελληνικού δημόσιου χρέους, η ταχύτητα της οικονομικής ανάκαμψης, μέσω της στήριξης των επιχειρήσεων και της απασχόλησης, είναι πρωτεύουσας σημασίας, ώστε η επιστροφή σε θετικό δημοσιονομικό αποτέλεσμα να είναι ταχεία και δυναμική. Προς το σκοπό αυτό, η ελληνική κυβέρνηση έλαβε</w:t>
      </w:r>
      <w:r w:rsidR="00BE5772">
        <w:rPr>
          <w:szCs w:val="22"/>
        </w:rPr>
        <w:t xml:space="preserve">, πέραν των δημοσιονομικών, </w:t>
      </w:r>
      <w:r w:rsidRPr="004F70E9">
        <w:rPr>
          <w:szCs w:val="22"/>
        </w:rPr>
        <w:t xml:space="preserve">επιπλέον μέτρα με χαρακτήρα τόσο </w:t>
      </w:r>
      <w:r w:rsidR="0031449C">
        <w:rPr>
          <w:szCs w:val="22"/>
        </w:rPr>
        <w:t>αναστο</w:t>
      </w:r>
      <w:r w:rsidR="00767841">
        <w:rPr>
          <w:szCs w:val="22"/>
        </w:rPr>
        <w:t>λής πληρωμής υποχρεώσεων</w:t>
      </w:r>
      <w:r w:rsidRPr="004F70E9">
        <w:rPr>
          <w:szCs w:val="22"/>
        </w:rPr>
        <w:t xml:space="preserve"> (ύψους 1,2 δισ. ευρώ), όσο και </w:t>
      </w:r>
      <w:r w:rsidR="0031449C">
        <w:rPr>
          <w:szCs w:val="22"/>
        </w:rPr>
        <w:t xml:space="preserve">ενίσχυσης της </w:t>
      </w:r>
      <w:r w:rsidRPr="004F70E9">
        <w:rPr>
          <w:szCs w:val="22"/>
        </w:rPr>
        <w:t>ρευστότητας (ύψους 8,5 δισ. ευρώ συμπεριλαμβανομένης της εκτιμώμενης μόχλευσης</w:t>
      </w:r>
      <w:r w:rsidR="00767841">
        <w:rPr>
          <w:szCs w:val="22"/>
        </w:rPr>
        <w:t xml:space="preserve"> από το τραπεζικό σύστημα</w:t>
      </w:r>
      <w:r w:rsidRPr="004F70E9">
        <w:rPr>
          <w:szCs w:val="22"/>
        </w:rPr>
        <w:t xml:space="preserve">). </w:t>
      </w:r>
    </w:p>
    <w:p w:rsidR="004F70E9" w:rsidRDefault="004F70E9" w:rsidP="004F70E9">
      <w:pPr>
        <w:jc w:val="both"/>
        <w:rPr>
          <w:szCs w:val="22"/>
        </w:rPr>
      </w:pPr>
    </w:p>
    <w:p w:rsidR="004F70E9" w:rsidRPr="004F70E9" w:rsidRDefault="004F70E9" w:rsidP="004F70E9">
      <w:pPr>
        <w:jc w:val="both"/>
        <w:rPr>
          <w:szCs w:val="22"/>
        </w:rPr>
      </w:pPr>
      <w:r w:rsidRPr="004F70E9">
        <w:rPr>
          <w:szCs w:val="22"/>
        </w:rPr>
        <w:t xml:space="preserve">Τα ως άνω μέτρα καλύπτουν ένα ευρύ φάσμα </w:t>
      </w:r>
      <w:r w:rsidR="00C220B1">
        <w:rPr>
          <w:szCs w:val="22"/>
        </w:rPr>
        <w:t>στήριξης</w:t>
      </w:r>
      <w:r w:rsidR="00C220B1" w:rsidRPr="004F70E9">
        <w:rPr>
          <w:szCs w:val="22"/>
        </w:rPr>
        <w:t xml:space="preserve"> </w:t>
      </w:r>
      <w:r w:rsidRPr="004F70E9">
        <w:rPr>
          <w:szCs w:val="22"/>
        </w:rPr>
        <w:t xml:space="preserve">εισοδήματος και κάλυψης δαπανών για τα φυσικά και νομικά πρόσωπα που επλήγησαν από την αναστολή λειτουργίας οικονομικών κλάδων και εργασιακών συμβάσεων, λόγω της υγειονομικής κρίσης. Η θετική επίδραση των μέτρων αυτών στην οικονομική ανάκαμψη βραχυπρόθεσμα είναι καθοριστική, με το ύψος τους στο δεύτερο τρίμηνο του έτους να ανέρχεται σε 5,5 δισ. ευρώ, αμβλύνοντας το βαθύτερο σημείο της ύφεσης. Την ίδια στιγμή, ορισμένα εξ αυτών διαμορφώνουν ένα πλαίσιο «εγγυημένης απασχόλησης» για το κρίσιμο πρώτο διάστημα χαλάρωσης των μέτρων κοινωνικής αποστασιοποίησης, μέσω της ρήτρας μη απόλυσης εργαζομένων. </w:t>
      </w:r>
    </w:p>
    <w:p w:rsidR="004F70E9" w:rsidRDefault="004F70E9" w:rsidP="004F70E9">
      <w:pPr>
        <w:jc w:val="both"/>
        <w:rPr>
          <w:szCs w:val="22"/>
        </w:rPr>
      </w:pPr>
    </w:p>
    <w:p w:rsidR="004F70E9" w:rsidRPr="004F70E9" w:rsidRDefault="004F70E9" w:rsidP="004F70E9">
      <w:pPr>
        <w:jc w:val="both"/>
        <w:rPr>
          <w:szCs w:val="22"/>
        </w:rPr>
      </w:pPr>
      <w:r w:rsidRPr="004F70E9">
        <w:rPr>
          <w:szCs w:val="22"/>
        </w:rPr>
        <w:t>Σε αυτό το πλαίσιο εμπίπτει η αποζημίωση ειδικού σκοπού</w:t>
      </w:r>
      <w:r w:rsidRPr="004F70E9">
        <w:rPr>
          <w:szCs w:val="22"/>
          <w:vertAlign w:val="superscript"/>
        </w:rPr>
        <w:footnoteReference w:id="12"/>
      </w:r>
      <w:r w:rsidRPr="004F70E9">
        <w:rPr>
          <w:szCs w:val="22"/>
        </w:rPr>
        <w:t xml:space="preserve"> ύψους 534 ευρώ για αυτοαπασχολούμενους, επιχειρηματίες που απασχολούν έως 20 άτομα και ατομικές επιχειρήσεις που επλήγησαν από την υγειονομική κρίση, καθώς και για εργαζόμενους που η σύμβασή τους τέθηκε σε αναστολή, με κάλυψη των ασφαλιστικών εισφορών τους από το κράτος, από τον Μάρτιο 2020 και μετά. </w:t>
      </w:r>
    </w:p>
    <w:p w:rsidR="004F70E9" w:rsidRDefault="004F70E9" w:rsidP="004F70E9">
      <w:pPr>
        <w:jc w:val="both"/>
        <w:rPr>
          <w:szCs w:val="22"/>
        </w:rPr>
      </w:pPr>
    </w:p>
    <w:p w:rsidR="004F70E9" w:rsidRPr="004F70E9" w:rsidRDefault="004F70E9" w:rsidP="004F70E9">
      <w:pPr>
        <w:jc w:val="both"/>
        <w:rPr>
          <w:szCs w:val="22"/>
        </w:rPr>
      </w:pPr>
      <w:r w:rsidRPr="004F70E9">
        <w:rPr>
          <w:szCs w:val="22"/>
        </w:rPr>
        <w:lastRenderedPageBreak/>
        <w:t>Άλλα κύρια μέτρα με δημοσιονομικό αντίκτυπο</w:t>
      </w:r>
      <w:r w:rsidRPr="004F70E9">
        <w:rPr>
          <w:szCs w:val="22"/>
          <w:vertAlign w:val="superscript"/>
        </w:rPr>
        <w:footnoteReference w:id="13"/>
      </w:r>
      <w:r w:rsidRPr="004F70E9">
        <w:rPr>
          <w:szCs w:val="22"/>
        </w:rPr>
        <w:t xml:space="preserve"> αποτέλεσαν η χρηματοδότηση επιχειρήσεων με τη μορφή επιστρεπτέας προκαταβολής, με </w:t>
      </w:r>
      <w:r w:rsidR="00B35338">
        <w:rPr>
          <w:szCs w:val="22"/>
        </w:rPr>
        <w:t>τη διάθεση περί των 4 δισ. ευρώ έως τα τέλη του 2020</w:t>
      </w:r>
      <w:r w:rsidRPr="004F70E9">
        <w:rPr>
          <w:szCs w:val="22"/>
        </w:rPr>
        <w:t xml:space="preserve">, η μείωση της προκαταβολής φόρου για επιχειρήσεις που επλήγησαν από την υγειονομική κρίση, το πρόγραμμα «Γέφυρα» για επιδότηση δανείων με υποθήκη την πρώτη κατοικία και ο μηχανισμός «ΣΥΝ-ΕΡΓΑΣΙΑ» για την οικονομική ενίσχυση βραχυχρόνιας εργασίας, με στόχο τη διατήρηση θέσεων εργασίας πλήρους απασχόλησης με χρηματοδότηση από το ευρωπαϊκό πρόγραμμα </w:t>
      </w:r>
      <w:r w:rsidRPr="004F70E9">
        <w:rPr>
          <w:szCs w:val="22"/>
          <w:lang w:val="en-US"/>
        </w:rPr>
        <w:t>SURE</w:t>
      </w:r>
      <w:r w:rsidRPr="004F70E9">
        <w:rPr>
          <w:szCs w:val="22"/>
        </w:rPr>
        <w:t xml:space="preserve">. </w:t>
      </w:r>
    </w:p>
    <w:p w:rsidR="004F70E9" w:rsidRDefault="004F70E9" w:rsidP="004F70E9">
      <w:pPr>
        <w:jc w:val="both"/>
        <w:rPr>
          <w:szCs w:val="22"/>
        </w:rPr>
      </w:pPr>
    </w:p>
    <w:p w:rsidR="004F70E9" w:rsidRPr="004F70E9" w:rsidRDefault="004F70E9" w:rsidP="004F70E9">
      <w:pPr>
        <w:jc w:val="both"/>
        <w:rPr>
          <w:szCs w:val="22"/>
        </w:rPr>
      </w:pPr>
      <w:r w:rsidRPr="004F70E9">
        <w:rPr>
          <w:szCs w:val="22"/>
        </w:rPr>
        <w:t xml:space="preserve">Τα μέτρα αυτά αναμένεται να έχουν επίδραση στο ΑΕΠ, κυρίως μέσω της στήριξης της απασχόλησης, του διαθέσιμου εισοδήματος και της ιδιωτικής κατανάλωσης, και δευτερευόντως μέσω των επενδύσεων και των εξαγωγών. Επιπρόσθετα, στήριξη του ΑΕΠ μέσω της δημόσιας κατανάλωσης αναμένεται να προέλθει από τις έκτακτες δημόσιες δαπάνες για την αντιμετώπιση του </w:t>
      </w:r>
      <w:proofErr w:type="spellStart"/>
      <w:r w:rsidRPr="004F70E9">
        <w:rPr>
          <w:szCs w:val="22"/>
          <w:lang w:val="en-US"/>
        </w:rPr>
        <w:t>Covid</w:t>
      </w:r>
      <w:proofErr w:type="spellEnd"/>
      <w:r w:rsidRPr="004F70E9">
        <w:rPr>
          <w:szCs w:val="22"/>
        </w:rPr>
        <w:t>-19 (συμπεριλαμβανομένων των νέων προσλήψεων στο Εθνικό Σύστημα Υγείας και του έκτακτου επιδόματος Πάσχα για τους υγειονομικούς υπαλλήλους και τους υπαλλήλους της Πολιτικής Προστασίας).</w:t>
      </w:r>
    </w:p>
    <w:p w:rsidR="004F70E9" w:rsidRDefault="004F70E9" w:rsidP="004F70E9">
      <w:pPr>
        <w:jc w:val="both"/>
        <w:rPr>
          <w:szCs w:val="22"/>
        </w:rPr>
      </w:pPr>
    </w:p>
    <w:p w:rsidR="004F70E9" w:rsidRPr="004F70E9" w:rsidRDefault="004F70E9" w:rsidP="004F70E9">
      <w:pPr>
        <w:jc w:val="both"/>
        <w:rPr>
          <w:szCs w:val="22"/>
        </w:rPr>
      </w:pPr>
      <w:r w:rsidRPr="004F70E9">
        <w:rPr>
          <w:szCs w:val="22"/>
        </w:rPr>
        <w:t xml:space="preserve">Από την άλλη πλευρά, στα μέτρα ρευστότητας που υιοθετήθηκαν συγκαταλέγεται, αφενός, το πρόγραμμα παροχής δανείων κεφαλαίου κίνησης με διετή επιδότηση επιτοκίου λόγω πανδημίας από το ΤΕΠΙΧ ΙΙ, προς μικρομεσαίες επιχειρήσεις σε αναστολή ή περιορισμό λειτουργίας. Αφετέρου, έχει συσταθεί το Ταμείο Εγγυοδοσίας Επιχειρήσεων Covid-19, ως ανεξάρτητη χρηματοδοτική μονάδα στο πλαίσιο της Ελληνικής Αναπτυξιακής Τράπεζας, για να  χρηματοδοτηθούν με εγγυημένα δάνεια κεφαλαίου κίνησης οι μικρές, μεσαίες και μεγάλες επιχειρήσεις της χώρας. Τα συνολικά διαθέσιμα κεφάλαια των δύο κύκλων του Ταμείου Εγγυοδοσίας Επιχειρήσεων </w:t>
      </w:r>
      <w:r w:rsidR="009A5A06">
        <w:rPr>
          <w:szCs w:val="22"/>
        </w:rPr>
        <w:t>Covid-19</w:t>
      </w:r>
      <w:r w:rsidR="00261D58">
        <w:rPr>
          <w:szCs w:val="22"/>
        </w:rPr>
        <w:t xml:space="preserve"> ανέρχονται σε περίπου 2</w:t>
      </w:r>
      <w:r w:rsidRPr="004F70E9">
        <w:rPr>
          <w:szCs w:val="22"/>
        </w:rPr>
        <w:t xml:space="preserve"> δισ. ευρώ</w:t>
      </w:r>
      <w:r w:rsidR="00B35338">
        <w:rPr>
          <w:szCs w:val="22"/>
        </w:rPr>
        <w:t>, που με τη μόχλευση αγγίζουν τα 7 δισ. ευρώ</w:t>
      </w:r>
      <w:r w:rsidRPr="004F70E9">
        <w:rPr>
          <w:szCs w:val="22"/>
        </w:rPr>
        <w:t xml:space="preserve">. </w:t>
      </w:r>
    </w:p>
    <w:p w:rsidR="00C3719B" w:rsidRDefault="00C3719B" w:rsidP="004F70E9">
      <w:pPr>
        <w:jc w:val="both"/>
        <w:rPr>
          <w:szCs w:val="22"/>
        </w:rPr>
      </w:pPr>
    </w:p>
    <w:p w:rsidR="004F70E9" w:rsidRPr="004F70E9" w:rsidRDefault="004F70E9" w:rsidP="004F70E9">
      <w:pPr>
        <w:jc w:val="both"/>
        <w:rPr>
          <w:szCs w:val="22"/>
        </w:rPr>
      </w:pPr>
      <w:r w:rsidRPr="004F70E9">
        <w:rPr>
          <w:szCs w:val="22"/>
        </w:rPr>
        <w:t xml:space="preserve">Πέραν των ανωτέρω μέτρων, θεσπίστηκε και το πλαίσιο χορήγησης </w:t>
      </w:r>
      <w:proofErr w:type="spellStart"/>
      <w:r w:rsidRPr="004F70E9">
        <w:rPr>
          <w:szCs w:val="22"/>
        </w:rPr>
        <w:t>μικροχρηματοδοτήσεων</w:t>
      </w:r>
      <w:proofErr w:type="spellEnd"/>
      <w:r w:rsidRPr="004F70E9">
        <w:rPr>
          <w:szCs w:val="22"/>
        </w:rPr>
        <w:t xml:space="preserve"> (ν. 4701/2020) για τη χορήγηση δανείων έως 25.000 ευρώ χωρίς εμπράγματες εξασφαλίσεις σε πολύ μικρές επιχειρήσεις</w:t>
      </w:r>
      <w:r w:rsidRPr="004F70E9">
        <w:rPr>
          <w:szCs w:val="22"/>
          <w:vertAlign w:val="superscript"/>
        </w:rPr>
        <w:footnoteReference w:id="14"/>
      </w:r>
      <w:r w:rsidRPr="004F70E9">
        <w:rPr>
          <w:szCs w:val="22"/>
        </w:rPr>
        <w:t xml:space="preserve">. Οι χορηγήσεις αναμένεται να ξεκινήσουν ως το τέλος του τρέχοντος έτους, δίνοντας ώθηση στην ανάκαμψη των πληγεισών πολύ μικρών επιχειρήσεων με δυσκολία εύρεσης ρευστότητας από άλλες πηγές. </w:t>
      </w:r>
    </w:p>
    <w:p w:rsidR="00C3719B" w:rsidRDefault="00C3719B" w:rsidP="004F70E9">
      <w:pPr>
        <w:jc w:val="both"/>
        <w:rPr>
          <w:szCs w:val="22"/>
        </w:rPr>
      </w:pPr>
    </w:p>
    <w:p w:rsidR="006144CE" w:rsidRDefault="004F70E9" w:rsidP="004F70E9">
      <w:pPr>
        <w:jc w:val="both"/>
        <w:rPr>
          <w:szCs w:val="22"/>
        </w:rPr>
      </w:pPr>
      <w:r w:rsidRPr="004F70E9">
        <w:rPr>
          <w:szCs w:val="22"/>
        </w:rPr>
        <w:t>Τα ως άνω εθνικά μέτρα συμπληρώνουν τα διαθέσιμα για την Ελλάδα εργαλεία στήριξης που έχουν υιοθετηθεί σε πανευρωπαϊκό επίπεδο, μεταξύ των οποίων το Πανευρωπαϊκό Ταμείο Εγγυήσεων υπό την Ευρωπαϊκή Τράπεζα Επενδύσεων (</w:t>
      </w:r>
      <w:proofErr w:type="spellStart"/>
      <w:r w:rsidRPr="004F70E9">
        <w:rPr>
          <w:szCs w:val="22"/>
        </w:rPr>
        <w:t>ΕΤΕπ</w:t>
      </w:r>
      <w:proofErr w:type="spellEnd"/>
      <w:r w:rsidRPr="004F70E9">
        <w:rPr>
          <w:szCs w:val="22"/>
        </w:rPr>
        <w:t>) για τη χρηματοδότηση επιχειρήσεων, ιδιαίτερα μικρομεσαίων και το μέσο για την παροχή χρηματοδότησης με τη μορφή δανείων για την προστασία της απασχόλησης (SURE).</w:t>
      </w:r>
    </w:p>
    <w:p w:rsidR="006144CE" w:rsidRDefault="006144CE" w:rsidP="004F70E9">
      <w:pPr>
        <w:jc w:val="both"/>
        <w:rPr>
          <w:szCs w:val="22"/>
        </w:rPr>
      </w:pPr>
    </w:p>
    <w:p w:rsidR="004F70E9" w:rsidRPr="00415535" w:rsidRDefault="004F70E9" w:rsidP="004F70E9">
      <w:pPr>
        <w:jc w:val="both"/>
        <w:rPr>
          <w:szCs w:val="22"/>
        </w:rPr>
      </w:pPr>
      <w:r w:rsidRPr="004F70E9">
        <w:rPr>
          <w:szCs w:val="22"/>
        </w:rPr>
        <w:t>Όφελος για την ελληνική οικονομία προκύπτει και από το έκτακτο πρόγραμμα αγοράς στοιχείων ενεργητικού λόγω της πανδημίας (</w:t>
      </w:r>
      <w:r w:rsidRPr="004F70E9">
        <w:rPr>
          <w:szCs w:val="22"/>
          <w:lang w:val="en-US"/>
        </w:rPr>
        <w:t>PEPP</w:t>
      </w:r>
      <w:r w:rsidRPr="004F70E9">
        <w:rPr>
          <w:szCs w:val="22"/>
        </w:rPr>
        <w:t>), που αποφασίστηκε από την Ευρωπαϊκή Κεντρική Τράπεζα, με συνολικό ύψος 1.350</w:t>
      </w:r>
      <w:r w:rsidRPr="004F70E9">
        <w:rPr>
          <w:bCs/>
          <w:szCs w:val="22"/>
        </w:rPr>
        <w:t xml:space="preserve"> δισ. ευρώ </w:t>
      </w:r>
      <w:r w:rsidRPr="004F70E9">
        <w:rPr>
          <w:szCs w:val="22"/>
        </w:rPr>
        <w:t xml:space="preserve">για την αγορά ιδιωτικών και δημόσιων τίτλων κατά τη διάρκεια της κρίσης, επιπλέον του προγράμματος ύψους 120 δισ. ευρώ που είχε αποφασιστεί προηγουμένως. Η Ευρωπαϊκή Κεντρική Τράπεζα αποφάσισε υπέρ της επιλεξιμότητας των ελληνικών ομολόγων στο πρόγραμμα βάσει παρέκκλισης, αξιολογώντας τις </w:t>
      </w:r>
      <w:r w:rsidRPr="004F70E9">
        <w:rPr>
          <w:szCs w:val="22"/>
        </w:rPr>
        <w:lastRenderedPageBreak/>
        <w:t>προ της πανδημίας θετικές εξελίξεις στην ελληνική οικονομία και τις χρηματοπιστωτικές αγορές</w:t>
      </w:r>
      <w:r w:rsidRPr="004F70E9">
        <w:rPr>
          <w:szCs w:val="22"/>
          <w:vertAlign w:val="superscript"/>
        </w:rPr>
        <w:footnoteReference w:id="15"/>
      </w:r>
      <w:r w:rsidRPr="004F70E9">
        <w:rPr>
          <w:szCs w:val="22"/>
        </w:rPr>
        <w:t xml:space="preserve">. </w:t>
      </w:r>
    </w:p>
    <w:p w:rsidR="009A5A06" w:rsidRPr="00415535" w:rsidRDefault="009A5A06" w:rsidP="004F70E9">
      <w:pPr>
        <w:jc w:val="both"/>
        <w:rPr>
          <w:szCs w:val="22"/>
        </w:rPr>
      </w:pPr>
    </w:p>
    <w:p w:rsidR="004F70E9" w:rsidRPr="004F70E9" w:rsidRDefault="004F70E9" w:rsidP="004F70E9">
      <w:pPr>
        <w:jc w:val="both"/>
        <w:rPr>
          <w:szCs w:val="22"/>
        </w:rPr>
      </w:pPr>
      <w:r w:rsidRPr="004F70E9">
        <w:rPr>
          <w:szCs w:val="22"/>
        </w:rPr>
        <w:t>Σε συνέχεια του πρώτου ευρωπαϊκού πακέτου για την αντιμετώπιση των οικονομικών επιπτώσεων της πανδημίας, η Σύνοδος Κορυφής της 17</w:t>
      </w:r>
      <w:r w:rsidRPr="004F70E9">
        <w:rPr>
          <w:szCs w:val="22"/>
          <w:vertAlign w:val="superscript"/>
        </w:rPr>
        <w:t>ης</w:t>
      </w:r>
      <w:r w:rsidRPr="004F70E9">
        <w:rPr>
          <w:szCs w:val="22"/>
        </w:rPr>
        <w:t xml:space="preserve"> - 21</w:t>
      </w:r>
      <w:r w:rsidRPr="004F70E9">
        <w:rPr>
          <w:szCs w:val="22"/>
          <w:vertAlign w:val="superscript"/>
        </w:rPr>
        <w:t>ης</w:t>
      </w:r>
      <w:r w:rsidRPr="004F70E9">
        <w:rPr>
          <w:szCs w:val="22"/>
        </w:rPr>
        <w:t xml:space="preserve"> Ιουλίου ενέκρινε το σχέδιο ανάκαμψης της Ευρώπης ‘</w:t>
      </w:r>
      <w:r w:rsidRPr="004F70E9">
        <w:rPr>
          <w:szCs w:val="22"/>
          <w:lang w:val="en-US"/>
        </w:rPr>
        <w:t>Next</w:t>
      </w:r>
      <w:r w:rsidRPr="004F70E9">
        <w:rPr>
          <w:szCs w:val="22"/>
        </w:rPr>
        <w:t xml:space="preserve"> </w:t>
      </w:r>
      <w:r w:rsidRPr="004F70E9">
        <w:rPr>
          <w:szCs w:val="22"/>
          <w:lang w:val="en-US"/>
        </w:rPr>
        <w:t>Generation</w:t>
      </w:r>
      <w:r w:rsidRPr="004F70E9">
        <w:rPr>
          <w:szCs w:val="22"/>
        </w:rPr>
        <w:t xml:space="preserve"> </w:t>
      </w:r>
      <w:r w:rsidRPr="004F70E9">
        <w:rPr>
          <w:szCs w:val="22"/>
          <w:lang w:val="en-US"/>
        </w:rPr>
        <w:t>EU</w:t>
      </w:r>
      <w:r w:rsidRPr="004F70E9">
        <w:rPr>
          <w:szCs w:val="22"/>
        </w:rPr>
        <w:t>’ ύψους 750 δισ. ευρώ, εκ των οποίων 390 δισ. ευρώ υπό μορφή επιχορηγήσεων και 360 δισ. ευρώ υπό μορφή δανείων προς τα κράτη-μέλη. Το σχέδιο δίνει προτεραιότητα σε κομβικούς τομείς για το μέλλον της Ευρώπης, όπως είναι η πράσινη ανάπτυξη και ο ψηφιακός μετασχηματισμός των οικονομιών. Εκ των ως άνω, στ</w:t>
      </w:r>
      <w:r w:rsidR="00672E27">
        <w:rPr>
          <w:szCs w:val="22"/>
        </w:rPr>
        <w:t>ην Ελλάδα έχουν κατανεμηθεί 32</w:t>
      </w:r>
      <w:r w:rsidRPr="004F70E9">
        <w:rPr>
          <w:szCs w:val="22"/>
        </w:rPr>
        <w:t xml:space="preserve"> δισ. ευρώ, εκ των οποίων 19</w:t>
      </w:r>
      <w:r w:rsidR="00672E27">
        <w:rPr>
          <w:szCs w:val="22"/>
        </w:rPr>
        <w:t>,3</w:t>
      </w:r>
      <w:r w:rsidRPr="004F70E9">
        <w:rPr>
          <w:szCs w:val="22"/>
        </w:rPr>
        <w:t xml:space="preserve"> δισ. ευρώ σε επιχορηγήσεις και 12,7 δισ. ευρώ υπό μορφή δανείου. Πρόκειται για πόρους επιπρόσθετους του νέου Πολυετούς Δημοσιονομικού Πλαισίου.</w:t>
      </w:r>
    </w:p>
    <w:p w:rsidR="00C3719B" w:rsidRDefault="00C3719B" w:rsidP="004F70E9">
      <w:pPr>
        <w:jc w:val="both"/>
        <w:rPr>
          <w:szCs w:val="22"/>
        </w:rPr>
      </w:pPr>
    </w:p>
    <w:p w:rsidR="004F70E9" w:rsidRPr="004F70E9" w:rsidRDefault="004F70E9" w:rsidP="004F70E9">
      <w:pPr>
        <w:jc w:val="both"/>
        <w:rPr>
          <w:szCs w:val="22"/>
        </w:rPr>
      </w:pPr>
      <w:r w:rsidRPr="004F70E9">
        <w:rPr>
          <w:szCs w:val="22"/>
        </w:rPr>
        <w:t>Με τα δεδομένα αυτά, η Ελλάδα επεξεργάζεται ένα συνεκτικό Εθνικό Στρατηγικό Σχέδιο για τη βέλτιστη παραγωγική αξιοποίηση και μόχλευση όλων των διαθέσιμων κεφαλαίων από το ‘</w:t>
      </w:r>
      <w:r w:rsidRPr="004F70E9">
        <w:rPr>
          <w:szCs w:val="22"/>
          <w:lang w:val="en-US"/>
        </w:rPr>
        <w:t>Next</w:t>
      </w:r>
      <w:r w:rsidRPr="004F70E9">
        <w:rPr>
          <w:szCs w:val="22"/>
        </w:rPr>
        <w:t xml:space="preserve"> </w:t>
      </w:r>
      <w:r w:rsidRPr="004F70E9">
        <w:rPr>
          <w:szCs w:val="22"/>
          <w:lang w:val="en-US"/>
        </w:rPr>
        <w:t>Generation</w:t>
      </w:r>
      <w:r w:rsidRPr="004F70E9">
        <w:rPr>
          <w:szCs w:val="22"/>
        </w:rPr>
        <w:t xml:space="preserve"> </w:t>
      </w:r>
      <w:r w:rsidRPr="004F70E9">
        <w:rPr>
          <w:szCs w:val="22"/>
          <w:lang w:val="en-US"/>
        </w:rPr>
        <w:t>EU</w:t>
      </w:r>
      <w:r w:rsidRPr="004F70E9">
        <w:rPr>
          <w:szCs w:val="22"/>
        </w:rPr>
        <w:t>’, καθώς και των πόρων από το Πολυετές Δημοσιονομικό Πλαίσιο 2021-2027, βασισμένο στις προτάσεις και στις στρατηγικές κατευθύνσεις της Ευρωπαϊκής Επιτροπής για το Σχέδιο Ανάπτυξης της Ελληνικής Οικονομίας.</w:t>
      </w:r>
    </w:p>
    <w:p w:rsidR="00C3719B" w:rsidRDefault="00C3719B" w:rsidP="004F70E9">
      <w:pPr>
        <w:jc w:val="both"/>
        <w:rPr>
          <w:szCs w:val="22"/>
        </w:rPr>
      </w:pPr>
    </w:p>
    <w:p w:rsidR="004F70E9" w:rsidRPr="004F70E9" w:rsidRDefault="004F70E9" w:rsidP="004F70E9">
      <w:pPr>
        <w:jc w:val="both"/>
        <w:rPr>
          <w:szCs w:val="22"/>
        </w:rPr>
      </w:pPr>
      <w:r w:rsidRPr="004F70E9">
        <w:rPr>
          <w:szCs w:val="22"/>
        </w:rPr>
        <w:t xml:space="preserve">Η υλοποίηση του σχεδίου, η οποία θα συντελεστεί με συνεργασία όλων των συναρμόδιων Υπουργείων, καθώς και τη συμμετοχή του ιδιωτικού τομέα, θα συντονίζεται </w:t>
      </w:r>
      <w:r w:rsidR="00B34AF3">
        <w:rPr>
          <w:szCs w:val="22"/>
        </w:rPr>
        <w:t xml:space="preserve">στη διάρκεια της εφαρμογής του </w:t>
      </w:r>
      <w:r w:rsidRPr="004F70E9">
        <w:rPr>
          <w:szCs w:val="22"/>
        </w:rPr>
        <w:t xml:space="preserve">από το </w:t>
      </w:r>
      <w:r w:rsidR="00672E27">
        <w:rPr>
          <w:szCs w:val="22"/>
        </w:rPr>
        <w:t>Υ</w:t>
      </w:r>
      <w:r w:rsidR="00B34AF3">
        <w:rPr>
          <w:szCs w:val="22"/>
        </w:rPr>
        <w:t>πουργείο Οικονομικών</w:t>
      </w:r>
      <w:r w:rsidRPr="004F70E9">
        <w:rPr>
          <w:szCs w:val="22"/>
        </w:rPr>
        <w:t>, ώστε να διασφαλισθεί η αποτελεσματικότητα στην επίτευξη των στόχων. Οι προτεραιότητες του υπό διαμόρφωση σχεδίου εστιάζουν: α) στη στήριξη της επιχειρηματικότητας, την προσέλκυση ιδιωτικών επενδύσεων και την προώθηση της καινοτομίας, β) στην ενίσχυση της απασχόλησης και της κοινωνικής συνοχής, γ) στην πράσινη ανάπτυξη, δ) στον ψηφιακό μετασχηματισμό και την τεχνολογική αναβάθμιση δημόσιου και ιδιωτικού τομέα, ε) στην αναβάθμιση των υποδομών και τη στήριξη της περιφέρειας</w:t>
      </w:r>
      <w:r w:rsidR="00B34AF3">
        <w:rPr>
          <w:szCs w:val="22"/>
        </w:rPr>
        <w:t>, σε συνδυασμό και συμπληρωματικά με τα άλλα προγράμματα της Ευρωπαϊκής Ένωσης που αποτυπώνονται στο Πολυετές Δημοσιονομικό Πλαίσιο 2021-2027</w:t>
      </w:r>
      <w:r w:rsidRPr="004F70E9">
        <w:rPr>
          <w:szCs w:val="22"/>
        </w:rPr>
        <w:t>.</w:t>
      </w:r>
    </w:p>
    <w:p w:rsidR="00C3719B" w:rsidRDefault="00C3719B" w:rsidP="004F70E9">
      <w:pPr>
        <w:jc w:val="both"/>
        <w:rPr>
          <w:szCs w:val="22"/>
        </w:rPr>
      </w:pPr>
    </w:p>
    <w:p w:rsidR="004F70E9" w:rsidRPr="004F70E9" w:rsidRDefault="004F70E9" w:rsidP="004F70E9">
      <w:pPr>
        <w:jc w:val="both"/>
        <w:rPr>
          <w:szCs w:val="22"/>
        </w:rPr>
      </w:pPr>
      <w:r w:rsidRPr="004F70E9">
        <w:rPr>
          <w:szCs w:val="22"/>
        </w:rPr>
        <w:t xml:space="preserve">Η επιτυχία του εν λόγω σχεδίου αποτελεί κλειδί ώστε να καταστεί πρόσκαιρη η επιδείνωση, λόγω της πανδημίας, των ανισορροπιών της ελληνικής οικονομίας που κληροδότησε η οικονομική κρίση του 2009 στην Ελλάδα (υψηλό δημόσιο χρέος, υψηλό ποσοστό ανεργίας, υψηλό ποσοστό μη εξυπηρετούμενων δανείων και μεγάλο επενδυτικό κενό). </w:t>
      </w:r>
    </w:p>
    <w:p w:rsidR="00C3719B" w:rsidRDefault="00C3719B" w:rsidP="004F70E9">
      <w:pPr>
        <w:jc w:val="both"/>
        <w:rPr>
          <w:szCs w:val="22"/>
        </w:rPr>
      </w:pPr>
    </w:p>
    <w:p w:rsidR="004F70E9" w:rsidRPr="004F70E9" w:rsidRDefault="004F70E9" w:rsidP="004F70E9">
      <w:pPr>
        <w:jc w:val="both"/>
        <w:rPr>
          <w:szCs w:val="22"/>
        </w:rPr>
      </w:pPr>
      <w:r w:rsidRPr="004F70E9">
        <w:rPr>
          <w:szCs w:val="22"/>
        </w:rPr>
        <w:t>Συνοψίζοντας, η συνισταμένη των οικονομικών επιπτώσεων από τα τρία βασικά κανάλια μετάδοσης της υγειονομικής κρίσης (παραγωγή, απασχόληση και εγχώρια ζήτηση, εξωτερικός τομέας), καθώς και από τη μερικώς αντισταθμιστική δράση των μέτρων οικονομικής στήριξης, τοποθετεί την ύφεση για το σύνολο του 2020 στο 8,2%, κοντά στο εναλλακτικό σενάριο του Προγράμματος Σταθερότητας</w:t>
      </w:r>
      <w:r w:rsidRPr="004F70E9">
        <w:rPr>
          <w:szCs w:val="22"/>
          <w:vertAlign w:val="superscript"/>
        </w:rPr>
        <w:footnoteReference w:id="16"/>
      </w:r>
      <w:r w:rsidRPr="004F70E9">
        <w:rPr>
          <w:szCs w:val="22"/>
        </w:rPr>
        <w:t xml:space="preserve"> και σε αισθητά ευνοϊκότερο επίπεδο από τη θερινή εκτίμηση της Ευρωπαϊκής Επιτροπής για την Ευρωζώνη χωρίς τη συμπερίληψη της Ελλάδας</w:t>
      </w:r>
      <w:r w:rsidR="008825E0" w:rsidRPr="008825E0">
        <w:rPr>
          <w:szCs w:val="22"/>
        </w:rPr>
        <w:t xml:space="preserve">    </w:t>
      </w:r>
      <w:r w:rsidR="008D2708" w:rsidRPr="008D2708">
        <w:rPr>
          <w:szCs w:val="22"/>
        </w:rPr>
        <w:t xml:space="preserve"> </w:t>
      </w:r>
      <w:r w:rsidRPr="004F70E9">
        <w:rPr>
          <w:szCs w:val="22"/>
        </w:rPr>
        <w:t xml:space="preserve"> (-8,7%). Ο ρυθμός μείωσης του ΑΕΠ σε όρους αξίας αναμένεται να είναι συγκριτικά μεγαλύτερος (-8,9%), εν μέσω καθοδικής πίεσης στις τιμές, λόγω της συρρίκνωσης της ζήτησης και των μειούμενων διεθνών τιμών πετρελαίου έναντι του 2019.</w:t>
      </w:r>
    </w:p>
    <w:p w:rsidR="00C3719B" w:rsidRDefault="00C3719B" w:rsidP="004F70E9">
      <w:pPr>
        <w:jc w:val="both"/>
        <w:rPr>
          <w:szCs w:val="22"/>
        </w:rPr>
      </w:pPr>
    </w:p>
    <w:p w:rsidR="004F70E9" w:rsidRPr="004F70E9" w:rsidRDefault="004F70E9" w:rsidP="004F70E9">
      <w:pPr>
        <w:jc w:val="both"/>
        <w:rPr>
          <w:szCs w:val="22"/>
        </w:rPr>
      </w:pPr>
      <w:r w:rsidRPr="004F70E9">
        <w:rPr>
          <w:szCs w:val="22"/>
        </w:rPr>
        <w:lastRenderedPageBreak/>
        <w:t xml:space="preserve">Η εγχώρια ζήτηση αναμένεται να έχει μεγαλύτερη αρνητική συμβολή στο ΑΕΠ στο σύνολο του έτους σε σχέση με τον εξωτερικό τομέα της οικονομίας, εξηγώντας το 60% της ύφεσης. Η πραγματική ιδιωτική κατανάλωση αναμένεται να μειωθεί κατά 6,0% έναντι του 2019, εν μέσω μείωσης της συνολικής απασχόλησης κατά 4,7% και της απασχόλησης των μισθωτών κατά 5,2%, που εκτιμάται ότι θα επιφέρει μείωση των αμοιβών εξαρτημένης εργασίας κατά 7%. Η μείωση αυτή οφείλεται αφενός στη μείωση του αριθμού των μισθωτών και αφετέρου στην απώλεια του 1,9% του μέσου ονομαστικού μισθού το 2020. Ο πραγματικός μέσος μισθός εκτιμάται ότι θα μειωθεί λιγότερο, κατά 1,3% έναντι του 2019, εν μέσω μείωσης του Εν. ΔΤΚ κατά 0,6%. Η μέση παραγωγικότητα της εργασίας αναμένεται να υποχωρήσει κατά 3,7%. </w:t>
      </w:r>
    </w:p>
    <w:p w:rsidR="00995D12" w:rsidRDefault="00995D12" w:rsidP="004F70E9">
      <w:pPr>
        <w:jc w:val="both"/>
        <w:rPr>
          <w:szCs w:val="22"/>
        </w:rPr>
      </w:pPr>
    </w:p>
    <w:p w:rsidR="004F70E9" w:rsidRPr="004F70E9" w:rsidRDefault="004F70E9" w:rsidP="004F70E9">
      <w:pPr>
        <w:jc w:val="both"/>
        <w:rPr>
          <w:szCs w:val="22"/>
        </w:rPr>
      </w:pPr>
      <w:r w:rsidRPr="004F70E9">
        <w:rPr>
          <w:szCs w:val="22"/>
        </w:rPr>
        <w:t xml:space="preserve">Οι πραγματικές επενδύσεις αναμένεται να σημειώσουν περαιτέρω απώλειες στο δεύτερο εξάμηνο του έτους, φτάνοντας στο σύνολο του 2020 στο -10,9% έναντι του 2019, ως αντανάκλαση του χαμηλού επιπέδου δραστηριότητας στον κλάδο του τουρισμού και της αναζωπύρωσης της αβεβαιότητας διεθνώς όσον αφορά την επιδημιολογική εξέλιξη της κρίσης. Ωστόσο, οι επενδύσεις στον κλάδο των κατασκευών αναμένεται να παραμείνουν σε θετική πορεία στο σύνολο του έτους, στη βάση του ιδιαίτερα θετικού πρώτου εξαμήνου του 2020. </w:t>
      </w:r>
    </w:p>
    <w:p w:rsidR="00995D12" w:rsidRDefault="00995D12" w:rsidP="004F70E9">
      <w:pPr>
        <w:jc w:val="both"/>
        <w:rPr>
          <w:szCs w:val="22"/>
        </w:rPr>
      </w:pPr>
    </w:p>
    <w:p w:rsidR="004F70E9" w:rsidRPr="004F70E9" w:rsidRDefault="004F70E9" w:rsidP="004F70E9">
      <w:pPr>
        <w:jc w:val="both"/>
        <w:rPr>
          <w:szCs w:val="22"/>
        </w:rPr>
      </w:pPr>
      <w:r w:rsidRPr="004F70E9">
        <w:rPr>
          <w:szCs w:val="22"/>
        </w:rPr>
        <w:t xml:space="preserve">Οι εξαγωγές υπηρεσιών αναμένεται να υποστούν καθίζηση στο σύνολο του έτους (-45,4%), με κύρια την επίδραση της εισερχόμενης ταξιδιωτικής κίνησης και τις μικρότερες απώλειες των εισαγωγών υπηρεσιών να οδηγούν σε αρνητική συμβολή του ισοζυγίου υπηρεσιών στο ΑΕΠ κατά 5,5% του ΑΕΠ. Η μεγάλη αρνητική συμβολή </w:t>
      </w:r>
      <w:proofErr w:type="spellStart"/>
      <w:r w:rsidRPr="004F70E9">
        <w:rPr>
          <w:szCs w:val="22"/>
        </w:rPr>
        <w:t>υπεραντισταθμίζει</w:t>
      </w:r>
      <w:proofErr w:type="spellEnd"/>
      <w:r w:rsidRPr="004F70E9">
        <w:rPr>
          <w:szCs w:val="22"/>
        </w:rPr>
        <w:t xml:space="preserve"> την κατά 2,2% του ΑΕΠ θετική συμβολή των καθαρών εξαγωγών αγαθών, που οφείλεται στη συγκριτικά μεγαλύτερη πτώση του όγκου των εισαγωγών αγαθών</w:t>
      </w:r>
      <w:r w:rsidRPr="004F70E9">
        <w:rPr>
          <w:szCs w:val="22"/>
          <w:vertAlign w:val="superscript"/>
        </w:rPr>
        <w:footnoteReference w:id="17"/>
      </w:r>
      <w:r w:rsidRPr="004F70E9">
        <w:rPr>
          <w:szCs w:val="22"/>
        </w:rPr>
        <w:t xml:space="preserve"> (-12%) έναντι των εξαγωγών αγαθών (-6,8%).</w:t>
      </w:r>
    </w:p>
    <w:p w:rsidR="00995D12" w:rsidRDefault="00995D12" w:rsidP="004F70E9">
      <w:pPr>
        <w:jc w:val="both"/>
        <w:rPr>
          <w:szCs w:val="22"/>
        </w:rPr>
      </w:pPr>
    </w:p>
    <w:p w:rsidR="004F70E9" w:rsidRPr="004F70E9" w:rsidRDefault="004F70E9" w:rsidP="004F70E9">
      <w:pPr>
        <w:jc w:val="both"/>
        <w:rPr>
          <w:szCs w:val="22"/>
        </w:rPr>
      </w:pPr>
      <w:r w:rsidRPr="004F70E9">
        <w:rPr>
          <w:szCs w:val="22"/>
        </w:rPr>
        <w:t xml:space="preserve">Η προ της πανδημίας δυναμική μείωσης της ανεργίας αναμένεται να αναστραφεί προσωρινά στο σύνολο του 2020, με την αύξηση των ανέργων όμως να περιορίζεται σε 1,3 ποσοστιαίες μονάδες του εργατικού δυναμικού, εν μέσω μείωσης του τελευταίου κατά 3,1% έναντι του 2019 εξαιτίας της επιφυλακτικότητας στην προσφορά εργασίας σε περιόδους έξαρσης της πανδημίας. </w:t>
      </w:r>
    </w:p>
    <w:p w:rsidR="00995D12" w:rsidRDefault="00995D12" w:rsidP="004F70E9">
      <w:pPr>
        <w:jc w:val="both"/>
        <w:rPr>
          <w:szCs w:val="22"/>
        </w:rPr>
      </w:pPr>
    </w:p>
    <w:p w:rsidR="004F70E9" w:rsidRPr="004F70E9" w:rsidRDefault="004F70E9" w:rsidP="004F70E9">
      <w:pPr>
        <w:jc w:val="both"/>
        <w:rPr>
          <w:szCs w:val="22"/>
        </w:rPr>
      </w:pPr>
      <w:r w:rsidRPr="004F70E9">
        <w:rPr>
          <w:szCs w:val="22"/>
        </w:rPr>
        <w:t>Σταδιακή ανάκαμψη από τρίμηνο σε τρίμηνο αναμένεται για το πραγματικό ΑΕΠ από το τρίτο τρίμηνο του 2020, εντούτοις η επαναφορά σε θετικούς τριμηνιαίους ρυθμούς ανάπτυξης σε ετήσια βάση αναμένεται το δεύτερο τρίμηνο του 2021.</w:t>
      </w:r>
    </w:p>
    <w:p w:rsidR="00227EC0" w:rsidRDefault="00227EC0" w:rsidP="000D05B1">
      <w:pPr>
        <w:jc w:val="both"/>
        <w:rPr>
          <w:szCs w:val="22"/>
        </w:rPr>
      </w:pPr>
    </w:p>
    <w:p w:rsidR="00B067F4" w:rsidRPr="007D29EA" w:rsidRDefault="00B067F4" w:rsidP="000D05B1">
      <w:pPr>
        <w:jc w:val="both"/>
        <w:rPr>
          <w:szCs w:val="22"/>
        </w:rPr>
      </w:pPr>
    </w:p>
    <w:p w:rsidR="000D05B1" w:rsidRPr="00626C39" w:rsidRDefault="000D05B1" w:rsidP="000D05B1">
      <w:pPr>
        <w:shd w:val="clear" w:color="auto" w:fill="BFBFBF"/>
        <w:tabs>
          <w:tab w:val="left" w:pos="540"/>
        </w:tabs>
        <w:jc w:val="both"/>
        <w:rPr>
          <w:rFonts w:ascii="Arial Narrow" w:hAnsi="Arial Narrow"/>
          <w:b/>
          <w:sz w:val="26"/>
          <w:szCs w:val="22"/>
        </w:rPr>
      </w:pPr>
      <w:r w:rsidRPr="00626C39">
        <w:rPr>
          <w:rFonts w:ascii="Arial Narrow" w:hAnsi="Arial Narrow"/>
          <w:b/>
          <w:sz w:val="26"/>
          <w:szCs w:val="22"/>
        </w:rPr>
        <w:t>2.</w:t>
      </w:r>
      <w:r w:rsidRPr="00626C39">
        <w:rPr>
          <w:rFonts w:ascii="Arial Narrow" w:hAnsi="Arial Narrow"/>
          <w:b/>
          <w:sz w:val="26"/>
          <w:szCs w:val="22"/>
        </w:rPr>
        <w:tab/>
      </w:r>
      <w:r w:rsidRPr="00626C39">
        <w:rPr>
          <w:rFonts w:ascii="Arial Narrow" w:hAnsi="Arial Narrow"/>
          <w:b/>
          <w:bCs/>
          <w:sz w:val="26"/>
          <w:szCs w:val="22"/>
        </w:rPr>
        <w:t>Νομισματικές και πιστωτικές εξελίξεις στην Ελλάδα</w:t>
      </w:r>
      <w:r w:rsidR="00C220B1">
        <w:rPr>
          <w:rFonts w:ascii="Arial Narrow" w:hAnsi="Arial Narrow"/>
          <w:b/>
          <w:bCs/>
          <w:sz w:val="26"/>
          <w:szCs w:val="22"/>
        </w:rPr>
        <w:t xml:space="preserve"> το 2020</w:t>
      </w:r>
    </w:p>
    <w:p w:rsidR="000D05B1" w:rsidRPr="00626C39" w:rsidRDefault="000D05B1" w:rsidP="000D05B1">
      <w:pPr>
        <w:jc w:val="both"/>
        <w:rPr>
          <w:szCs w:val="22"/>
        </w:rPr>
      </w:pPr>
    </w:p>
    <w:p w:rsidR="007E3FE5" w:rsidRPr="007E3FE5" w:rsidRDefault="007E3FE5" w:rsidP="007E3FE5">
      <w:pPr>
        <w:spacing w:line="238" w:lineRule="auto"/>
        <w:jc w:val="both"/>
        <w:rPr>
          <w:szCs w:val="22"/>
        </w:rPr>
      </w:pPr>
      <w:r w:rsidRPr="007E3FE5">
        <w:rPr>
          <w:szCs w:val="22"/>
        </w:rPr>
        <w:t xml:space="preserve">Το 2020 ο ετήσιος ρυθμός μεταβολής του συνόλου των εγχωρίων καταθέσεων επιβραδύνθηκε έναντι του προηγούμενου έτους και διαμορφώθηκε, κατά μέσο όρο τους πρώτους επτά μήνες του έτους, σε 6,3% (μέσος ετήσιος ρυθμός κατά τους πρώτους επτά μήνες του 2019: 7,8%). Η παρατηρούμενη επιβράδυνση αποδίδεται κυρίως στις καταθέσεις προθεσμίας έως 2 έτη, οι οποίες υποχώρησαν με εντεινόμενο ρυθμό κατά τη διάρκεια των πρώτων επτά μηνών του τρέχοντος έτους (2020 </w:t>
      </w:r>
      <w:proofErr w:type="spellStart"/>
      <w:r w:rsidRPr="007E3FE5">
        <w:rPr>
          <w:szCs w:val="22"/>
        </w:rPr>
        <w:t>μ.ο</w:t>
      </w:r>
      <w:proofErr w:type="spellEnd"/>
      <w:r w:rsidRPr="007E3FE5">
        <w:rPr>
          <w:szCs w:val="22"/>
        </w:rPr>
        <w:t xml:space="preserve">.: -4,7%, 2019 </w:t>
      </w:r>
      <w:proofErr w:type="spellStart"/>
      <w:r w:rsidRPr="007E3FE5">
        <w:rPr>
          <w:szCs w:val="22"/>
        </w:rPr>
        <w:t>μ.ο</w:t>
      </w:r>
      <w:proofErr w:type="spellEnd"/>
      <w:r w:rsidRPr="007E3FE5">
        <w:rPr>
          <w:szCs w:val="22"/>
        </w:rPr>
        <w:t xml:space="preserve">.: 3,8%). Αντίθετα, οι καταθέσεις διάρκειας μίας ημέρας αυξήθηκαν με διψήφιο μέγεθος ετήσιου ρυθμού ανόδου, ο οποίος επιταχύνθηκε σταδιακά (2020 </w:t>
      </w:r>
      <w:proofErr w:type="spellStart"/>
      <w:r w:rsidRPr="007E3FE5">
        <w:rPr>
          <w:szCs w:val="22"/>
        </w:rPr>
        <w:t>μ.ο</w:t>
      </w:r>
      <w:proofErr w:type="spellEnd"/>
      <w:r w:rsidRPr="007E3FE5">
        <w:rPr>
          <w:szCs w:val="22"/>
        </w:rPr>
        <w:t xml:space="preserve">.: 12,7%, 2019 </w:t>
      </w:r>
      <w:proofErr w:type="spellStart"/>
      <w:r w:rsidRPr="007E3FE5">
        <w:rPr>
          <w:szCs w:val="22"/>
        </w:rPr>
        <w:t>μ.ο</w:t>
      </w:r>
      <w:proofErr w:type="spellEnd"/>
      <w:r w:rsidRPr="007E3FE5">
        <w:rPr>
          <w:szCs w:val="22"/>
        </w:rPr>
        <w:t>.: 10,9%). Η συρρίκνωση της διαφοράς του επιτοκίου καταθέσεων προθεσμίας από το επιτόκιο των καταθέσεων μίας ημέρας εκτιμάται ότι συνέβα</w:t>
      </w:r>
      <w:r w:rsidRPr="007E3FE5">
        <w:rPr>
          <w:szCs w:val="22"/>
        </w:rPr>
        <w:lastRenderedPageBreak/>
        <w:t xml:space="preserve">λε στη μετακίνηση πόρων μεταξύ των δύο κατηγοριών καταθέσεων. Επιπλέον του περιορισμού του κόστους ευκαιρίας διακράτησης καταθέσεων αυξημένης ρευστότητας, η αύξηση του υπολοίπου των τρεχούμενων λογαριασμών, των καταθέσεων όψεως και των καταθέσεων ταμιευτηρίου, υποστηρίχθηκε από τη δέσμη μέτρων πολιτικής για τον περιορισμό των επιπτώσεων της πανδημίας στην πραγματική οικονομία, την αύξηση της χρησιμότητας των καταθέσεων ως μέσου πληρωμών και πιθανώς την αναβολή καταναλωτικών δαπανών εκ μέρους των νοικοκυριών. </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Όσον αφορά την ανάλυση κατά τομέα, οι τραπεζικές καταθέσεις των μη χρηματοπιστωτικών επιχειρήσεων αυξήθηκαν συνολικά περίπου κατά 4,8 δισ. ευρώ τους πρώτους επτά μήνες του έτους (έναντι αύξησης 0,4 δισ. ευρώ την ίδια περίοδο του 2019). Η άνοδος των καταθέσεων των μη χρηματοπιστωτικών επιχειρήσεων προήλθε επίσης κατά κύριο λόγο από καταθέσεις μίας ημέρας (3/4 της συνολικής ροής του επταμήνου Ιανουαρίου – Ιουλίου 2020) πιθανώς αντανακλώντας τη συγκέντρωση διαθεσίμων από τις επιχειρήσεις κατά την περίοδο της πανδημίας, είτε για λόγους πρόνοιας είτε λόγω πίστωσης προϊόντος δανείου ή χρηματοδοτικού εργαλείου υπέρ της ενίσχυσης ρευστότητας των επιχειρήσεων που επλήγησαν από την πανδημία. Παρά την αρνητική επίδραση που συνέχισε να ασκεί η συρρίκνωση των στεγαστικών και των καταναλωτικών δανείων, οι καταθέσεις των νοικοκυριών αυξήθηκαν κατά 3,3 δισ. ευρώ (έναντι αύξησης 3,1 δισ. ευρώ την ίδια περίοδο του 2019). </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Ο ετήσιος ρυθμός μεταβολής του υπολοίπου της χρηματοδότησης προς τον τομέα της γενικής κυβέρνησης από το εγχώριο τραπεζικό σύστημα (συμπεριλαμβανομένης της Τραπέζης της Ελλάδος), ενώ ήταν αρνητικός το 2019, μεταστράφηκε το 2020 σε θετικό και επιταχύνθηκε έντονα. Αναλυτικότερα, ο εν λόγω ρυθμός μεταβολής ανήλθε σε 46,1% τον Ιούλιο του 2020 (έναντι -5,5% το Δεκέμβριο του 2019) και το επτάμηνο Ιανουαρίου – Ιουλίου 2020 διαμορφώθηκε κατά μέσο όρο σε 16,4% έναντι -2,5% για το σύνολο του 2019. Η σημαντική ετήσια άνοδος του υπολοίπου της χρηματοδότησης προς τον τομέα της γενικής κυβέρνησης κατά μέσο όρο το εν λόγω διάστημα του 2020, ενισχύθηκε δραστικά από την αύξηση της αξίας του αποθέματος τίτλων του Ελληνικού Δημοσίου στο χαρτοφυλάκιο των ΝΧΙ (νομισματικών χρηματοπιστωτικών ιδρυμάτων), καθώς οι τίτλοι αυτοί έγιναν εκ νέου κατ’ εξαίρεση αποδεκτοί από το </w:t>
      </w:r>
      <w:proofErr w:type="spellStart"/>
      <w:r w:rsidRPr="007E3FE5">
        <w:rPr>
          <w:szCs w:val="22"/>
        </w:rPr>
        <w:t>Ευρωσύστημα</w:t>
      </w:r>
      <w:proofErr w:type="spellEnd"/>
      <w:r w:rsidRPr="007E3FE5">
        <w:rPr>
          <w:szCs w:val="22"/>
        </w:rPr>
        <w:t xml:space="preserve"> ως εξασφαλίσεις. Τα ελληνικά πιστωτικά ιδρύματα τους χρησιμοποίησαν προκειμένου να αντλήσουν πόρους μέσω πράξεων </w:t>
      </w:r>
      <w:proofErr w:type="spellStart"/>
      <w:r w:rsidRPr="007E3FE5">
        <w:rPr>
          <w:szCs w:val="22"/>
        </w:rPr>
        <w:t>αναχρηματοδότησης</w:t>
      </w:r>
      <w:proofErr w:type="spellEnd"/>
      <w:r w:rsidRPr="007E3FE5">
        <w:rPr>
          <w:szCs w:val="22"/>
        </w:rPr>
        <w:t xml:space="preserve"> από το </w:t>
      </w:r>
      <w:proofErr w:type="spellStart"/>
      <w:r w:rsidRPr="007E3FE5">
        <w:rPr>
          <w:szCs w:val="22"/>
        </w:rPr>
        <w:t>Ευρωσύστημα</w:t>
      </w:r>
      <w:proofErr w:type="spellEnd"/>
      <w:r w:rsidRPr="007E3FE5">
        <w:rPr>
          <w:szCs w:val="22"/>
        </w:rPr>
        <w:t xml:space="preserve">. Επίσης, οι εν λόγω τίτλοι εντάχθηκαν στο </w:t>
      </w:r>
      <w:r w:rsidRPr="007E3FE5">
        <w:rPr>
          <w:szCs w:val="22"/>
          <w:lang w:val="en-US"/>
        </w:rPr>
        <w:t>Pandemic</w:t>
      </w:r>
      <w:r w:rsidRPr="007E3FE5">
        <w:rPr>
          <w:szCs w:val="22"/>
        </w:rPr>
        <w:t xml:space="preserve"> </w:t>
      </w:r>
      <w:r w:rsidRPr="007E3FE5">
        <w:rPr>
          <w:szCs w:val="22"/>
          <w:lang w:val="en-US"/>
        </w:rPr>
        <w:t>Emergency</w:t>
      </w:r>
      <w:r w:rsidRPr="007E3FE5">
        <w:rPr>
          <w:szCs w:val="22"/>
        </w:rPr>
        <w:t xml:space="preserve"> </w:t>
      </w:r>
      <w:r w:rsidRPr="007E3FE5">
        <w:rPr>
          <w:szCs w:val="22"/>
          <w:lang w:val="en-US"/>
        </w:rPr>
        <w:t>Purchase</w:t>
      </w:r>
      <w:r w:rsidRPr="007E3FE5">
        <w:rPr>
          <w:szCs w:val="22"/>
        </w:rPr>
        <w:t xml:space="preserve"> </w:t>
      </w:r>
      <w:proofErr w:type="spellStart"/>
      <w:r w:rsidRPr="007E3FE5">
        <w:rPr>
          <w:szCs w:val="22"/>
          <w:lang w:val="en-US"/>
        </w:rPr>
        <w:t>Programme</w:t>
      </w:r>
      <w:proofErr w:type="spellEnd"/>
      <w:r w:rsidRPr="007E3FE5">
        <w:rPr>
          <w:szCs w:val="22"/>
        </w:rPr>
        <w:t xml:space="preserve"> της ΕΚΤ, γεγονός το οποίο οδήγησε στην αύξηση της αξίας του σχετικού χαρτοφυλακίου της Τραπέζης της Ελλάδος ως αποτέλεσμα της κτήσης τους μέσω του εν λόγω προγράμματος.</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Όσον αφορά την τραπεζική χρηματοδότηση του ιδιωτικού μη χρηματοπιστωτικού τομέα της οικονομίας, οι μεν πιστώσεις προς τα νοικοκυριά συνέχισαν να μειώνονται, η δε χρηματοδότηση προς τις επιχειρήσεις αυξήθηκε περαιτέρω. Ο ετήσιος ρυθμός μείωσης των τραπεζικών δανείων προς τα νοικοκυριά έγινε εντονότερος τους πρώτους επτά μήνες του 2020 και διαμορφώθηκε κατά μέσο όρο σε -2,8% έναντι -2,6% το 2019 (Ιούλιος 2020: -2,6%, Δεκέμβριος 2019: -2,9%). Αντίθετα, ο ετήσιος ρυθμός πιστωτικής επέκτασης εκ μέρους των τραπεζών προς τις μη χρηματοπιστωτικές επιχειρήσεις, αφού σημείωσε επιτάχυνση κατά το μεγαλύτερο μέρος του 2019, μετά το Μάρτιο του 2020 ξεκίνησε εκ νέου να αυξάνεται αδιαλείπτως και τον Ιούλιο του 2020 ανήλθε σε 6,5%, την υψηλότερη τιμή που έχει λάβει μετά το Σεπτέμβριο του 2009 (Δεκέμβριος 2019: 1,7%). Το επτάμηνο Ιανουαρίου – Ιουλίου 2020 ο εν λόγω ρυθμός (3,5%) ήταν υψηλότερος έναντι του μέσου όρου του έτους 2019 (2,2%). </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Η ενδυνάμωση της πιστωτικής επέκτασης εκ μέρους των τραπεζών προς τις επιχειρήσεις το 2020, ιδιαίτερα μετά το Μάρτιο κατά τον οποίο ξεκίνησαν οι επιδράσεις από την πανδημία, </w:t>
      </w:r>
      <w:r w:rsidRPr="007E3FE5">
        <w:rPr>
          <w:szCs w:val="22"/>
        </w:rPr>
        <w:lastRenderedPageBreak/>
        <w:t xml:space="preserve">αντανακλά την ενίσχυση της ζήτησης καθώς και της προσφοράς τραπεζικών δανείων. Όσον αφορά τη ζήτηση για νέα δάνεια, οι πιέσεις στη ρευστότητα των επιχειρήσεων, μετά την έναρξη της πανδημίας και η διαμόρφωση των επιτοκίων των επιχειρηματικών δανείων σε χαμηλό μέσο επίπεδο κατά το 2020, είχαν αυξητική επίδραση η οποία </w:t>
      </w:r>
      <w:proofErr w:type="spellStart"/>
      <w:r w:rsidRPr="007E3FE5">
        <w:rPr>
          <w:szCs w:val="22"/>
        </w:rPr>
        <w:t>υπεραντιστάθμισε</w:t>
      </w:r>
      <w:proofErr w:type="spellEnd"/>
      <w:r w:rsidRPr="007E3FE5">
        <w:rPr>
          <w:szCs w:val="22"/>
        </w:rPr>
        <w:t xml:space="preserve"> τις επιπτώσεις από τον περιορισμό της οικονομικής δραστηριότητας κατά το α΄ και β΄ τρίμηνο του έτους. Εν όψει της αυξημένης αβεβαιότητας λόγω της πανδημίας, οι επιχειρήσεις αντιμετώπισαν τις πιέσεις αυτές με άντληση τραπεζικών δανειακών πόρων και από υφιστάμενες πιστωτικές γραμμές, εκτός από την υποβολή αιτημάτων για την ένταξή τους στα κυβερνητικά προγράμματα στήριξης για την αντιμετώπιση των οικονομικών συνεπειών του </w:t>
      </w:r>
      <w:proofErr w:type="spellStart"/>
      <w:r w:rsidR="009A5A06">
        <w:rPr>
          <w:szCs w:val="22"/>
          <w:lang w:val="en-GB"/>
        </w:rPr>
        <w:t>Covid</w:t>
      </w:r>
      <w:proofErr w:type="spellEnd"/>
      <w:r w:rsidR="009A5A06" w:rsidRPr="009A5A06">
        <w:rPr>
          <w:szCs w:val="22"/>
        </w:rPr>
        <w:t>-19</w:t>
      </w:r>
      <w:r w:rsidRPr="007E3FE5">
        <w:rPr>
          <w:szCs w:val="22"/>
        </w:rPr>
        <w:t xml:space="preserve">. </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Από την πλευρά της προσφοράς, οι συνθήκες ρευστότητας του τραπεζικού συστήματος βελτιώθηκαν το 2020, μέσω της στήριξης από τα μέτρα νομισματικής πολιτικής του </w:t>
      </w:r>
      <w:proofErr w:type="spellStart"/>
      <w:r w:rsidRPr="007E3FE5">
        <w:rPr>
          <w:szCs w:val="22"/>
        </w:rPr>
        <w:t>Ευρωσυστήματος</w:t>
      </w:r>
      <w:proofErr w:type="spellEnd"/>
      <w:r w:rsidRPr="007E3FE5">
        <w:rPr>
          <w:szCs w:val="22"/>
        </w:rPr>
        <w:t>, από τα εποπτικά μέτρα του Ενιαίου Εποπτικού Μηχανισμού (</w:t>
      </w:r>
      <w:r w:rsidRPr="007E3FE5">
        <w:rPr>
          <w:szCs w:val="22"/>
          <w:lang w:val="en-GB"/>
        </w:rPr>
        <w:t>SSM</w:t>
      </w:r>
      <w:r w:rsidRPr="007E3FE5">
        <w:rPr>
          <w:szCs w:val="22"/>
        </w:rPr>
        <w:t xml:space="preserve">) και από τα δημοσιονομικά μέτρα ενίσχυσης των επιχειρήσεων και των νοικοκυριών που έλαβε η κυβέρνηση. Επίσης, η παροχή τραπεζικών πιστώσεων προς τις επιχειρήσεις ενισχύθηκε ιδιαιτέρως από τα προγράμματα χρηματοδότησης μέσω της Αναπτυξιακής Τράπεζας με εγγυήσεις (από το «Ταμείο Εγγυοδοσίας Επιχειρήσεων </w:t>
      </w:r>
      <w:proofErr w:type="spellStart"/>
      <w:r w:rsidR="009A5A06">
        <w:rPr>
          <w:szCs w:val="22"/>
          <w:lang w:val="en-GB"/>
        </w:rPr>
        <w:t>Covid</w:t>
      </w:r>
      <w:proofErr w:type="spellEnd"/>
      <w:r w:rsidR="009A5A06" w:rsidRPr="009A5A06">
        <w:rPr>
          <w:szCs w:val="22"/>
        </w:rPr>
        <w:t>-19</w:t>
      </w:r>
      <w:r w:rsidRPr="007E3FE5">
        <w:rPr>
          <w:szCs w:val="22"/>
        </w:rPr>
        <w:t>») και επιδότηση επιτοκίου, καθώς και από τις χρηματοδοτήσεις του ομίλου της Ευρωπαϊκής Τράπεζας Επενδύσεων. Ωστόσο, σημαντικό περιοριστικό παράγοντα για την προσφορά πιστώσεων εκ μέρους των τραπεζών αποτελεί η προοπτική της δημιουργίας νέων μη εξυπηρετούμενων δανείων λόγω της ύφεσης.</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Η περαιτέρω συρρίκνωση του υπολοίπου της τραπεζικής χρηματοδότησης προς τα νοικοκυριά, κατά την υπό εξέταση περίοδο, συνδέεται με την επιδείνωση της χρηματοοικονομικής τους κατάστασης και τις εκτιμήσεις για άνοδο της ανεργίας, την περιστολή των καταναλωτικών δαπανών και την άνοδο της οικονομικής αβεβαιότητας. Οι παράγοντες αυτοί συνέβαλαν αρνητικά στη ζήτηση και την προσφορά δανείων. Εξάλλου, τα δάνεια προς τα νοικοκυριά συνεχίζουν να εμφανίζουν (συγκριτικά με τις επιχειρήσεις) υψηλότερους δείκτες μη εξυπηρετούμενων δανείων, περιορίζοντας τη διάθεση των τραπεζών να διοχετεύσουν νέες πιστώσεις. Επίσης, όσον αφορά τα στεγαστικά δάνεια, οι αβέβαιες εκτιμήσεις για την εξέλιξη των τιμών στην αγορά των κατοικιών επέδρασαν ανασταλτικά στη ζήτηση. </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Η επί μακρόν εξαιρετικά </w:t>
      </w:r>
      <w:proofErr w:type="spellStart"/>
      <w:r w:rsidRPr="007E3FE5">
        <w:rPr>
          <w:szCs w:val="22"/>
        </w:rPr>
        <w:t>διευκολυντική</w:t>
      </w:r>
      <w:proofErr w:type="spellEnd"/>
      <w:r w:rsidRPr="007E3FE5">
        <w:rPr>
          <w:szCs w:val="22"/>
        </w:rPr>
        <w:t xml:space="preserve"> κατεύθυνση της ενιαίας νομισματικής πολιτικής στη ζώνη του ευρώ και η ενίσχυση των καταθέσεων, ως πηγής άντλησης ρευστότητας εκ μέρους των πιστωτικών ιδρυμάτων, συνέβαλαν στο να διαμορφωθούν τα επιτόκια των τραπεζικών καταθέσεων στην Ελλάδα, την εξεταζόμενη περίοδο, σε ιστορικά χαμηλές τιμές. Το επιτόκιο των καταθέσεων προθεσμίας, περιλαμβανομένων των καταθέσεων των νοικοκυριών και των μη χρηματοπιστωτικών επιχειρήσεων, διαμορφώθηκε κατά μέσο όρο τους πρώτους επτά μήνες του τρέχοντος έτους σε 0,28%, δηλαδή κατά 33 μονάδες βάσης χαμηλότερα έναντι του μέσου επιτοκίου του 2019. </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 xml:space="preserve">Το κόστος τραπεζικής χρηματοδότησης για τις μη χρηματοπιστωτικές επιχειρήσεις διαμορφώθηκε κατά μέσο όρο το 2020 σε χαμηλότερο επίπεδο έναντι του προηγούμενου έτους, ενώ από τα μέσα του 2018 κυμαίνεται σε ιστορικά χαμηλές τιμές, διασφαλίζοντας μέχρι στιγμής υποστηρικτικές συνθήκες χρηματοδότησης για τις επιχειρήσεις. Ειδικότερα, το </w:t>
      </w:r>
      <w:proofErr w:type="spellStart"/>
      <w:r w:rsidRPr="007E3FE5">
        <w:rPr>
          <w:szCs w:val="22"/>
        </w:rPr>
        <w:t>μεσοσταθμικό</w:t>
      </w:r>
      <w:proofErr w:type="spellEnd"/>
      <w:r w:rsidRPr="007E3FE5">
        <w:rPr>
          <w:szCs w:val="22"/>
        </w:rPr>
        <w:t xml:space="preserve"> επιτόκιο των δανείων προς τις μη χρηματοπιστωτικές επιχειρήσεις διαμορφώθηκε σε 3,27%, κατά μέσο όρο, τους πρώτους επτά μήνες του 2020 (73 μονάδες βάσης χαμηλότερα έναντι του μέσου επιτοκίου του 2019). Στην ελάφρυνση του κόστους τραπεζικής χρηματοδότησης των επιχειρήσεων συνέβαλε, σε σημαντικό βαθμό, η διάθεση χρηματοδοτικών εργαλείων αναπτυξιακών φορέων, με σκοπό την ενίσχυση της ρευστότητας των επιχειρήσεων που επλήγησαν από την πανδημία.</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lastRenderedPageBreak/>
        <w:t xml:space="preserve">Όμοια με τις επιχειρήσεις, το κόστος τραπεζικού δανεισμού προς τα νοικοκυριά υποχώρησε κατά μέσο όρο το 2020 έναντι του προηγούμενου έτους. Το </w:t>
      </w:r>
      <w:proofErr w:type="spellStart"/>
      <w:r w:rsidRPr="007E3FE5">
        <w:rPr>
          <w:szCs w:val="22"/>
        </w:rPr>
        <w:t>μεσοσταθμικό</w:t>
      </w:r>
      <w:proofErr w:type="spellEnd"/>
      <w:r w:rsidRPr="007E3FE5">
        <w:rPr>
          <w:szCs w:val="22"/>
        </w:rPr>
        <w:t xml:space="preserve"> επιτόκιο των δανείων προς τα νοικοκυριά διαμορφώθηκε σε 4,89% κατά μέσο όρο το επτάμηνο Ιανουαρίου – Ιουλίου 2020 (27 μονάδες βάσης χαμηλότερα από το αντίστοιχο μέσο επιτόκιο του 2019). Η ανωτέρω εξέλιξη οφείλεται στην τάση αποκλιμάκωσης που παρατηρήθηκε στο </w:t>
      </w:r>
      <w:proofErr w:type="spellStart"/>
      <w:r w:rsidRPr="007E3FE5">
        <w:rPr>
          <w:szCs w:val="22"/>
        </w:rPr>
        <w:t>μεσοσταθμικό</w:t>
      </w:r>
      <w:proofErr w:type="spellEnd"/>
      <w:r w:rsidRPr="007E3FE5">
        <w:rPr>
          <w:szCs w:val="22"/>
        </w:rPr>
        <w:t xml:space="preserve"> επιτόκιο δανεισμού προς τα νοικοκυριά κατά το β΄ εξάμηνο του 2019 και έως το α΄ τρίμηνο του 2020, η οποία ωστόσο αντιστράφηκε από το β΄ τρίμηνο του τρέχοντος έτος. </w:t>
      </w:r>
    </w:p>
    <w:p w:rsidR="007E3FE5" w:rsidRDefault="007E3FE5" w:rsidP="007E3FE5">
      <w:pPr>
        <w:spacing w:line="238" w:lineRule="auto"/>
        <w:jc w:val="both"/>
        <w:rPr>
          <w:szCs w:val="22"/>
        </w:rPr>
      </w:pPr>
    </w:p>
    <w:p w:rsidR="007E3FE5" w:rsidRPr="007E3FE5" w:rsidRDefault="007E3FE5" w:rsidP="007E3FE5">
      <w:pPr>
        <w:spacing w:line="238" w:lineRule="auto"/>
        <w:jc w:val="both"/>
        <w:rPr>
          <w:szCs w:val="22"/>
        </w:rPr>
      </w:pPr>
      <w:r w:rsidRPr="007E3FE5">
        <w:rPr>
          <w:szCs w:val="22"/>
        </w:rPr>
        <w:t>Σε πραγματικούς όρους, τα επιτόκια των τραπεζικών δανείων ενισχύθηκαν το 2020 κυρίως λόγω των αποπληθωριστικών πιέσεων που ασκήθηκαν μετά το α΄ τρίμηνο του έτους. Το πραγματικό επιτόκιο</w:t>
      </w:r>
      <w:r w:rsidRPr="007E3FE5">
        <w:rPr>
          <w:szCs w:val="22"/>
          <w:vertAlign w:val="superscript"/>
        </w:rPr>
        <w:footnoteReference w:id="18"/>
      </w:r>
      <w:r w:rsidRPr="007E3FE5">
        <w:rPr>
          <w:szCs w:val="22"/>
        </w:rPr>
        <w:t xml:space="preserve"> των δανείων προς τις μη χρηματοπιστωτικές επιχειρήσεις και τα νοικοκυριά διαμορφώθηκε αντίστοιχα σε 3,84% και 5,45%, κατά μέσο όρο, την περίοδο Ιανουαρίου – Ιουλίου 2020 (υψηλότερα κατά 50 και 97 μονάδες βάσης αντίστοιχα έναντι των μέσων όρων της περιόδου Ιανουαρίου-Ιουλίου 2019).</w:t>
      </w:r>
    </w:p>
    <w:p w:rsidR="007E3FE5" w:rsidRPr="007E3FE5" w:rsidRDefault="007E3FE5" w:rsidP="007E3FE5">
      <w:pPr>
        <w:spacing w:line="238" w:lineRule="auto"/>
        <w:jc w:val="both"/>
        <w:rPr>
          <w:szCs w:val="22"/>
        </w:rPr>
      </w:pPr>
    </w:p>
    <w:p w:rsidR="000D05B1" w:rsidRPr="007E3FE5" w:rsidRDefault="000D05B1" w:rsidP="000D05B1">
      <w:pPr>
        <w:shd w:val="clear" w:color="auto" w:fill="BFBFBF"/>
        <w:tabs>
          <w:tab w:val="left" w:pos="540"/>
        </w:tabs>
        <w:spacing w:line="238" w:lineRule="auto"/>
        <w:jc w:val="both"/>
        <w:rPr>
          <w:rFonts w:ascii="Arial Narrow" w:hAnsi="Arial Narrow"/>
          <w:b/>
          <w:sz w:val="26"/>
          <w:szCs w:val="22"/>
        </w:rPr>
      </w:pPr>
      <w:r w:rsidRPr="007E3FE5">
        <w:rPr>
          <w:rFonts w:ascii="Arial Narrow" w:hAnsi="Arial Narrow"/>
          <w:b/>
          <w:sz w:val="26"/>
          <w:szCs w:val="22"/>
        </w:rPr>
        <w:t>3.</w:t>
      </w:r>
      <w:r w:rsidRPr="007E3FE5">
        <w:rPr>
          <w:rFonts w:ascii="Arial Narrow" w:hAnsi="Arial Narrow"/>
          <w:b/>
          <w:sz w:val="26"/>
          <w:szCs w:val="22"/>
        </w:rPr>
        <w:tab/>
      </w:r>
      <w:r w:rsidRPr="007E3FE5">
        <w:rPr>
          <w:rFonts w:ascii="Arial Narrow" w:hAnsi="Arial Narrow"/>
          <w:b/>
          <w:bCs/>
          <w:sz w:val="26"/>
          <w:szCs w:val="22"/>
        </w:rPr>
        <w:t>Μακροοικονομικές προβλέψεις το 202</w:t>
      </w:r>
      <w:r w:rsidR="00344947">
        <w:rPr>
          <w:rFonts w:ascii="Arial Narrow" w:hAnsi="Arial Narrow"/>
          <w:b/>
          <w:bCs/>
          <w:sz w:val="26"/>
          <w:szCs w:val="22"/>
        </w:rPr>
        <w:t>1</w:t>
      </w:r>
    </w:p>
    <w:p w:rsidR="000D05B1" w:rsidRPr="00E01754" w:rsidRDefault="000D05B1" w:rsidP="000D05B1">
      <w:pPr>
        <w:spacing w:line="238" w:lineRule="auto"/>
        <w:jc w:val="both"/>
        <w:rPr>
          <w:szCs w:val="22"/>
        </w:rPr>
      </w:pPr>
    </w:p>
    <w:p w:rsidR="00E01754" w:rsidRPr="00E01754" w:rsidRDefault="00E01754" w:rsidP="00E01754">
      <w:pPr>
        <w:jc w:val="both"/>
        <w:rPr>
          <w:szCs w:val="22"/>
        </w:rPr>
      </w:pPr>
      <w:r w:rsidRPr="00E01754">
        <w:rPr>
          <w:szCs w:val="22"/>
        </w:rPr>
        <w:t>Θετικότερες εμφανίζονται οι προοπτικές της παγκόσμιας οικονομίας για το 2021</w:t>
      </w:r>
      <w:r w:rsidRPr="00E01754">
        <w:rPr>
          <w:b/>
          <w:szCs w:val="22"/>
        </w:rPr>
        <w:t xml:space="preserve"> </w:t>
      </w:r>
      <w:r w:rsidRPr="00E01754">
        <w:rPr>
          <w:szCs w:val="22"/>
        </w:rPr>
        <w:t>αφήνοντας πίσω τη βαθιά ύφεση του 2020 συνεπεία της πανδημίας.</w:t>
      </w:r>
      <w:r w:rsidRPr="00E01754">
        <w:rPr>
          <w:b/>
          <w:szCs w:val="22"/>
        </w:rPr>
        <w:t xml:space="preserve"> </w:t>
      </w:r>
      <w:r w:rsidRPr="00E01754">
        <w:rPr>
          <w:szCs w:val="22"/>
        </w:rPr>
        <w:t xml:space="preserve">Τα μέτρα τα οποία έχουν ληφθεί στο πλαίσιο της δημοσιονομικής και νομισματικής πολιτικής, καθώς και οι ενισχυτικές πολιτικές της αγοράς εργασίας μετρίασαν τις επιπτώσεις της κρίσης. Ωστόσο, η ανάκαμψη περιβάλλεται από ασυνήθιστα μεγάλη αβεβαιότητα, καθώς συνεχίζει να εξαρτάται από τη μελλοντική εξέλιξη της πανδημίας και την επιτυχία των μέτρων περιορισμού για την αντιμετώπισή της. </w:t>
      </w:r>
      <w:r w:rsidRPr="00E01754">
        <w:rPr>
          <w:bCs/>
          <w:szCs w:val="22"/>
        </w:rPr>
        <w:t>Επιπλέον, η</w:t>
      </w:r>
      <w:r w:rsidRPr="00E01754">
        <w:rPr>
          <w:b/>
          <w:bCs/>
          <w:szCs w:val="22"/>
        </w:rPr>
        <w:t xml:space="preserve"> </w:t>
      </w:r>
      <w:r w:rsidRPr="00E01754">
        <w:rPr>
          <w:szCs w:val="22"/>
        </w:rPr>
        <w:t>ανάκαμψη αναμένεται να είναι ασύμμετρη τόσο μεταξύ των τομέων</w:t>
      </w:r>
      <w:r w:rsidRPr="00E01754">
        <w:rPr>
          <w:szCs w:val="22"/>
          <w:vertAlign w:val="superscript"/>
        </w:rPr>
        <w:footnoteReference w:id="19"/>
      </w:r>
      <w:r w:rsidRPr="00E01754">
        <w:rPr>
          <w:szCs w:val="22"/>
        </w:rPr>
        <w:t xml:space="preserve"> όσο και μεταξύ των χωρών.</w:t>
      </w:r>
    </w:p>
    <w:p w:rsidR="00E01754" w:rsidRDefault="00E01754" w:rsidP="00E01754">
      <w:pPr>
        <w:jc w:val="both"/>
        <w:rPr>
          <w:szCs w:val="22"/>
        </w:rPr>
      </w:pPr>
    </w:p>
    <w:p w:rsidR="00E01754" w:rsidRPr="00E01754" w:rsidRDefault="00E01754" w:rsidP="00E01754">
      <w:pPr>
        <w:jc w:val="both"/>
        <w:rPr>
          <w:szCs w:val="22"/>
        </w:rPr>
      </w:pPr>
      <w:r w:rsidRPr="00E01754">
        <w:rPr>
          <w:szCs w:val="22"/>
        </w:rPr>
        <w:t>Σύμφωνα με τα στοιχεία της τελευταίας έκθεσης του Διεθνούς Νομισματικού Ταμείου (ΔΝΤ) για τις παγκόσμιες οικονομικές προοπτικές (Ιούνιος 2020), το παγκόσμιο πραγματικό ΑΕΠ αναμένεται να αυξηθεί κατά 5,4% το 2021 έναντι ύφεσης 4,9% το 2020. Από την πλευρά της, η Ευρωπαϊκή Επιτροπή στις ενδιάμεσες οικονομικές προβλέψεις της (Ιούλιος 2020) εκτιμά ρυθμό ανάπτυξης 6,1% για την Ευρωζώνη και 5,8% για την Ευρωπαϊκή Ένωση το 2021 (έναντι βαθιάς ύφεσης 8,7% και 8,3% το 2020, αντιστοίχως), υπό την επίδραση των εκτεταμένων μέτρων δημοσιονομικής και νομισματικής πολιτικής, καθώς και του ευρωπαϊκού σχεδίου για την ανάκαμψη</w:t>
      </w:r>
      <w:r>
        <w:rPr>
          <w:szCs w:val="22"/>
        </w:rPr>
        <w:t xml:space="preserve"> (π</w:t>
      </w:r>
      <w:r w:rsidRPr="00E01754">
        <w:rPr>
          <w:szCs w:val="22"/>
        </w:rPr>
        <w:t xml:space="preserve">ίνακας 1.1). </w:t>
      </w:r>
    </w:p>
    <w:p w:rsidR="000D05B1" w:rsidRPr="00E01754" w:rsidRDefault="000D05B1" w:rsidP="000D05B1">
      <w:pPr>
        <w:jc w:val="both"/>
        <w:rPr>
          <w:szCs w:val="22"/>
        </w:rPr>
      </w:pPr>
    </w:p>
    <w:tbl>
      <w:tblPr>
        <w:tblW w:w="7790" w:type="dxa"/>
        <w:jc w:val="center"/>
        <w:tblLayout w:type="fixed"/>
        <w:tblCellMar>
          <w:left w:w="0" w:type="dxa"/>
          <w:right w:w="0" w:type="dxa"/>
        </w:tblCellMar>
        <w:tblLook w:val="0000" w:firstRow="0" w:lastRow="0" w:firstColumn="0" w:lastColumn="0" w:noHBand="0" w:noVBand="0"/>
      </w:tblPr>
      <w:tblGrid>
        <w:gridCol w:w="4216"/>
        <w:gridCol w:w="1133"/>
        <w:gridCol w:w="1276"/>
        <w:gridCol w:w="1135"/>
        <w:gridCol w:w="30"/>
      </w:tblGrid>
      <w:tr w:rsidR="000D05B1" w:rsidRPr="00E01754" w:rsidTr="000D05B1">
        <w:trPr>
          <w:jc w:val="center"/>
        </w:trPr>
        <w:tc>
          <w:tcPr>
            <w:tcW w:w="7760" w:type="dxa"/>
            <w:gridSpan w:val="4"/>
            <w:tcBorders>
              <w:top w:val="single" w:sz="8" w:space="0" w:color="000000"/>
              <w:left w:val="single" w:sz="8" w:space="0" w:color="000000"/>
              <w:bottom w:val="single" w:sz="8" w:space="0" w:color="000000"/>
              <w:right w:val="single" w:sz="4" w:space="0" w:color="auto"/>
            </w:tcBorders>
            <w:shd w:val="clear" w:color="auto" w:fill="FFFFFF"/>
          </w:tcPr>
          <w:p w:rsidR="000D05B1" w:rsidRPr="00E01754" w:rsidRDefault="00E53C21" w:rsidP="000D05B1">
            <w:pPr>
              <w:snapToGrid w:val="0"/>
              <w:spacing w:before="40"/>
              <w:jc w:val="center"/>
              <w:rPr>
                <w:rFonts w:ascii="Arial Narrow" w:hAnsi="Arial Narrow"/>
                <w:b/>
                <w:bCs/>
                <w:sz w:val="22"/>
              </w:rPr>
            </w:pPr>
            <w:r w:rsidRPr="00E01754">
              <w:rPr>
                <w:rFonts w:ascii="Arial Narrow" w:hAnsi="Arial Narrow"/>
                <w:b/>
                <w:bCs/>
                <w:sz w:val="22"/>
              </w:rPr>
              <w:t>Πίνακας 1.1</w:t>
            </w:r>
            <w:r w:rsidR="000D05B1" w:rsidRPr="00E01754">
              <w:rPr>
                <w:rFonts w:ascii="Arial Narrow" w:hAnsi="Arial Narrow"/>
                <w:b/>
                <w:bCs/>
                <w:sz w:val="22"/>
              </w:rPr>
              <w:t xml:space="preserve"> Βασικά μεγέθη της παγκόσμιας οικονομίας</w:t>
            </w:r>
          </w:p>
          <w:p w:rsidR="000D05B1" w:rsidRPr="00E01754" w:rsidRDefault="000D05B1" w:rsidP="000D05B1">
            <w:pPr>
              <w:spacing w:after="40"/>
              <w:jc w:val="center"/>
              <w:rPr>
                <w:rFonts w:ascii="Arial Narrow" w:hAnsi="Arial Narrow"/>
                <w:b/>
                <w:bCs/>
              </w:rPr>
            </w:pPr>
            <w:r w:rsidRPr="00E01754">
              <w:rPr>
                <w:rFonts w:ascii="Arial Narrow" w:hAnsi="Arial Narrow"/>
                <w:b/>
                <w:bCs/>
                <w:sz w:val="22"/>
              </w:rPr>
              <w:t>(% ετήσιες μεταβολές, σταθερές τιμές)</w:t>
            </w:r>
          </w:p>
        </w:tc>
        <w:tc>
          <w:tcPr>
            <w:tcW w:w="30" w:type="dxa"/>
            <w:tcBorders>
              <w:left w:val="single" w:sz="8" w:space="0" w:color="000000"/>
            </w:tcBorders>
            <w:shd w:val="clear" w:color="auto" w:fill="auto"/>
          </w:tcPr>
          <w:p w:rsidR="000D05B1" w:rsidRPr="00E01754" w:rsidRDefault="000D05B1" w:rsidP="000D05B1">
            <w:pPr>
              <w:snapToGrid w:val="0"/>
              <w:rPr>
                <w:rFonts w:ascii="Arial Narrow" w:hAnsi="Arial Narrow"/>
                <w:b/>
                <w:bCs/>
                <w:sz w:val="16"/>
              </w:rPr>
            </w:pPr>
          </w:p>
        </w:tc>
      </w:tr>
      <w:tr w:rsidR="000D05B1" w:rsidRPr="00E01754" w:rsidTr="00380F1B">
        <w:tblPrEx>
          <w:tblCellMar>
            <w:left w:w="108" w:type="dxa"/>
            <w:right w:w="108" w:type="dxa"/>
          </w:tblCellMar>
        </w:tblPrEx>
        <w:trPr>
          <w:gridAfter w:val="1"/>
          <w:wAfter w:w="30" w:type="dxa"/>
          <w:trHeight w:val="57"/>
          <w:jc w:val="center"/>
        </w:trPr>
        <w:tc>
          <w:tcPr>
            <w:tcW w:w="4216" w:type="dxa"/>
            <w:tcBorders>
              <w:top w:val="single" w:sz="8" w:space="0" w:color="000000"/>
              <w:left w:val="single" w:sz="8" w:space="0" w:color="000000"/>
              <w:bottom w:val="single" w:sz="8" w:space="0" w:color="000000"/>
            </w:tcBorders>
            <w:shd w:val="clear" w:color="auto" w:fill="FFFFFF"/>
          </w:tcPr>
          <w:p w:rsidR="000D05B1" w:rsidRPr="00E01754" w:rsidRDefault="000D05B1" w:rsidP="00380F1B">
            <w:pPr>
              <w:snapToGrid w:val="0"/>
              <w:spacing w:before="20" w:after="20"/>
              <w:jc w:val="both"/>
              <w:rPr>
                <w:rFonts w:ascii="Arial Narrow" w:hAnsi="Arial Narrow"/>
                <w:b/>
                <w:bCs/>
                <w:sz w:val="16"/>
              </w:rPr>
            </w:pPr>
          </w:p>
        </w:tc>
        <w:tc>
          <w:tcPr>
            <w:tcW w:w="1133" w:type="dxa"/>
            <w:tcBorders>
              <w:top w:val="single" w:sz="8" w:space="0" w:color="000000"/>
              <w:left w:val="single" w:sz="8" w:space="0" w:color="000000"/>
              <w:bottom w:val="single" w:sz="8" w:space="0" w:color="000000"/>
            </w:tcBorders>
            <w:shd w:val="clear" w:color="auto" w:fill="FFFFFF"/>
          </w:tcPr>
          <w:p w:rsidR="000D05B1" w:rsidRPr="00E01754" w:rsidRDefault="00E01754" w:rsidP="00380F1B">
            <w:pPr>
              <w:snapToGrid w:val="0"/>
              <w:spacing w:before="20" w:after="20"/>
              <w:jc w:val="center"/>
              <w:rPr>
                <w:rFonts w:ascii="Arial Narrow" w:hAnsi="Arial Narrow"/>
                <w:b/>
                <w:sz w:val="16"/>
              </w:rPr>
            </w:pPr>
            <w:r>
              <w:rPr>
                <w:rFonts w:ascii="Arial Narrow" w:hAnsi="Arial Narrow"/>
                <w:b/>
                <w:sz w:val="16"/>
              </w:rPr>
              <w:t>2019</w:t>
            </w:r>
          </w:p>
        </w:tc>
        <w:tc>
          <w:tcPr>
            <w:tcW w:w="1276" w:type="dxa"/>
            <w:tcBorders>
              <w:top w:val="single" w:sz="8" w:space="0" w:color="000000"/>
              <w:left w:val="single" w:sz="8" w:space="0" w:color="000000"/>
              <w:bottom w:val="single" w:sz="8" w:space="0" w:color="000000"/>
            </w:tcBorders>
            <w:shd w:val="clear" w:color="auto" w:fill="FFFFFF"/>
          </w:tcPr>
          <w:p w:rsidR="000D05B1" w:rsidRPr="00E01754" w:rsidRDefault="00E01754" w:rsidP="00380F1B">
            <w:pPr>
              <w:snapToGrid w:val="0"/>
              <w:spacing w:before="20" w:after="20"/>
              <w:jc w:val="center"/>
              <w:rPr>
                <w:rFonts w:ascii="Arial Narrow" w:hAnsi="Arial Narrow"/>
                <w:b/>
                <w:sz w:val="16"/>
              </w:rPr>
            </w:pPr>
            <w:r>
              <w:rPr>
                <w:rFonts w:ascii="Arial Narrow" w:hAnsi="Arial Narrow"/>
                <w:b/>
                <w:sz w:val="16"/>
              </w:rPr>
              <w:t>2020</w:t>
            </w:r>
            <w:r w:rsidR="000D05B1" w:rsidRPr="00E01754">
              <w:rPr>
                <w:rFonts w:ascii="Arial Narrow" w:hAnsi="Arial Narrow"/>
                <w:b/>
                <w:sz w:val="16"/>
              </w:rPr>
              <w:t>*</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0D05B1" w:rsidRPr="00E01754" w:rsidRDefault="00E01754" w:rsidP="00380F1B">
            <w:pPr>
              <w:snapToGrid w:val="0"/>
              <w:spacing w:before="20" w:after="20"/>
              <w:jc w:val="center"/>
              <w:rPr>
                <w:rFonts w:ascii="Arial Narrow" w:hAnsi="Arial Narrow"/>
                <w:b/>
                <w:sz w:val="16"/>
              </w:rPr>
            </w:pPr>
            <w:r>
              <w:rPr>
                <w:rFonts w:ascii="Arial Narrow" w:hAnsi="Arial Narrow"/>
                <w:b/>
                <w:sz w:val="16"/>
              </w:rPr>
              <w:t>2021</w:t>
            </w:r>
            <w:r w:rsidR="000D05B1" w:rsidRPr="00E01754">
              <w:rPr>
                <w:rFonts w:ascii="Arial Narrow" w:hAnsi="Arial Narrow"/>
                <w:b/>
                <w:sz w:val="16"/>
              </w:rPr>
              <w:t>*</w:t>
            </w:r>
          </w:p>
        </w:tc>
      </w:tr>
      <w:tr w:rsidR="00927BD5" w:rsidRPr="00E01754" w:rsidTr="000D05B1">
        <w:tblPrEx>
          <w:tblCellMar>
            <w:left w:w="108" w:type="dxa"/>
            <w:right w:w="108" w:type="dxa"/>
          </w:tblCellMar>
        </w:tblPrEx>
        <w:trPr>
          <w:gridAfter w:val="1"/>
          <w:wAfter w:w="30" w:type="dxa"/>
          <w:jc w:val="center"/>
        </w:trPr>
        <w:tc>
          <w:tcPr>
            <w:tcW w:w="4216" w:type="dxa"/>
            <w:tcBorders>
              <w:top w:val="single" w:sz="8" w:space="0" w:color="000000"/>
              <w:left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Παγκόσμιο ΑΕΠ</w:t>
            </w:r>
          </w:p>
        </w:tc>
        <w:tc>
          <w:tcPr>
            <w:tcW w:w="1133" w:type="dxa"/>
            <w:tcBorders>
              <w:top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2</w:t>
            </w:r>
            <w:r w:rsidRPr="00632170">
              <w:rPr>
                <w:rFonts w:ascii="Arial Narrow" w:hAnsi="Arial Narrow"/>
                <w:sz w:val="16"/>
                <w:szCs w:val="16"/>
              </w:rPr>
              <w:t>,</w:t>
            </w:r>
            <w:r w:rsidRPr="00632170">
              <w:rPr>
                <w:rFonts w:ascii="Arial Narrow" w:hAnsi="Arial Narrow"/>
                <w:sz w:val="16"/>
                <w:szCs w:val="16"/>
                <w:lang w:val="en-US"/>
              </w:rPr>
              <w:t>9</w:t>
            </w:r>
          </w:p>
        </w:tc>
        <w:tc>
          <w:tcPr>
            <w:tcW w:w="1276" w:type="dxa"/>
            <w:tcBorders>
              <w:top w:val="single" w:sz="8" w:space="0" w:color="000000"/>
            </w:tcBorders>
            <w:shd w:val="clear" w:color="auto" w:fill="FFFFFF"/>
          </w:tcPr>
          <w:p w:rsidR="00927BD5" w:rsidRPr="00632170" w:rsidRDefault="00927BD5" w:rsidP="00927BD5">
            <w:pPr>
              <w:ind w:right="340"/>
              <w:jc w:val="right"/>
              <w:rPr>
                <w:rFonts w:ascii="Arial Narrow" w:hAnsi="Arial Narrow"/>
                <w:sz w:val="16"/>
                <w:szCs w:val="16"/>
              </w:rPr>
            </w:pPr>
            <w:r w:rsidRPr="00632170">
              <w:rPr>
                <w:rFonts w:ascii="Arial Narrow" w:hAnsi="Arial Narrow"/>
                <w:sz w:val="16"/>
                <w:szCs w:val="16"/>
                <w:lang w:val="en-US"/>
              </w:rPr>
              <w:t>-4,9</w:t>
            </w:r>
          </w:p>
        </w:tc>
        <w:tc>
          <w:tcPr>
            <w:tcW w:w="1135" w:type="dxa"/>
            <w:tcBorders>
              <w:top w:val="single" w:sz="8" w:space="0" w:color="000000"/>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5</w:t>
            </w:r>
            <w:r w:rsidRPr="00632170">
              <w:rPr>
                <w:rFonts w:ascii="Arial Narrow" w:hAnsi="Arial Narrow"/>
                <w:sz w:val="16"/>
                <w:szCs w:val="16"/>
              </w:rPr>
              <w:t>,</w:t>
            </w:r>
            <w:r w:rsidRPr="00632170">
              <w:rPr>
                <w:rFonts w:ascii="Arial Narrow" w:hAnsi="Arial Narrow"/>
                <w:sz w:val="16"/>
                <w:szCs w:val="16"/>
                <w:lang w:val="en-US"/>
              </w:rPr>
              <w:t>4</w:t>
            </w: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ΑΕΠ ΕΕ**</w:t>
            </w:r>
          </w:p>
        </w:tc>
        <w:tc>
          <w:tcPr>
            <w:tcW w:w="1133"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1</w:t>
            </w:r>
            <w:r w:rsidRPr="00632170">
              <w:rPr>
                <w:rFonts w:ascii="Arial Narrow" w:hAnsi="Arial Narrow"/>
                <w:sz w:val="16"/>
                <w:szCs w:val="16"/>
              </w:rPr>
              <w:t>,</w:t>
            </w:r>
            <w:r w:rsidRPr="00632170">
              <w:rPr>
                <w:rFonts w:ascii="Arial Narrow" w:hAnsi="Arial Narrow"/>
                <w:sz w:val="16"/>
                <w:szCs w:val="16"/>
                <w:lang w:val="en-US"/>
              </w:rPr>
              <w:t>5</w:t>
            </w:r>
          </w:p>
        </w:tc>
        <w:tc>
          <w:tcPr>
            <w:tcW w:w="1276"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-8</w:t>
            </w:r>
            <w:r w:rsidRPr="00632170">
              <w:rPr>
                <w:rFonts w:ascii="Arial Narrow" w:hAnsi="Arial Narrow"/>
                <w:sz w:val="16"/>
                <w:szCs w:val="16"/>
              </w:rPr>
              <w:t>,</w:t>
            </w:r>
            <w:r w:rsidRPr="00632170">
              <w:rPr>
                <w:rFonts w:ascii="Arial Narrow" w:hAnsi="Arial Narrow"/>
                <w:sz w:val="16"/>
                <w:szCs w:val="16"/>
                <w:lang w:val="en-US"/>
              </w:rPr>
              <w:t>3</w:t>
            </w:r>
          </w:p>
        </w:tc>
        <w:tc>
          <w:tcPr>
            <w:tcW w:w="1135" w:type="dxa"/>
            <w:tcBorders>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5</w:t>
            </w:r>
            <w:r w:rsidRPr="00632170">
              <w:rPr>
                <w:rFonts w:ascii="Arial Narrow" w:hAnsi="Arial Narrow"/>
                <w:sz w:val="16"/>
                <w:szCs w:val="16"/>
              </w:rPr>
              <w:t>,</w:t>
            </w:r>
            <w:r w:rsidRPr="00632170">
              <w:rPr>
                <w:rFonts w:ascii="Arial Narrow" w:hAnsi="Arial Narrow"/>
                <w:sz w:val="16"/>
                <w:szCs w:val="16"/>
                <w:lang w:val="en-US"/>
              </w:rPr>
              <w:t>8</w:t>
            </w: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ΑΕΠ Ευρωζώνης**</w:t>
            </w:r>
          </w:p>
        </w:tc>
        <w:tc>
          <w:tcPr>
            <w:tcW w:w="1133"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1</w:t>
            </w:r>
            <w:r w:rsidRPr="00632170">
              <w:rPr>
                <w:rFonts w:ascii="Arial Narrow" w:hAnsi="Arial Narrow"/>
                <w:sz w:val="16"/>
                <w:szCs w:val="16"/>
              </w:rPr>
              <w:t>,</w:t>
            </w:r>
            <w:r w:rsidRPr="00632170">
              <w:rPr>
                <w:rFonts w:ascii="Arial Narrow" w:hAnsi="Arial Narrow"/>
                <w:sz w:val="16"/>
                <w:szCs w:val="16"/>
                <w:lang w:val="en-US"/>
              </w:rPr>
              <w:t>3</w:t>
            </w:r>
          </w:p>
        </w:tc>
        <w:tc>
          <w:tcPr>
            <w:tcW w:w="1276"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-8</w:t>
            </w:r>
            <w:r w:rsidRPr="00632170">
              <w:rPr>
                <w:rFonts w:ascii="Arial Narrow" w:hAnsi="Arial Narrow"/>
                <w:sz w:val="16"/>
                <w:szCs w:val="16"/>
              </w:rPr>
              <w:t>,</w:t>
            </w:r>
            <w:r w:rsidRPr="00632170">
              <w:rPr>
                <w:rFonts w:ascii="Arial Narrow" w:hAnsi="Arial Narrow"/>
                <w:sz w:val="16"/>
                <w:szCs w:val="16"/>
                <w:lang w:val="en-US"/>
              </w:rPr>
              <w:t>7</w:t>
            </w:r>
          </w:p>
        </w:tc>
        <w:tc>
          <w:tcPr>
            <w:tcW w:w="1135" w:type="dxa"/>
            <w:tcBorders>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6</w:t>
            </w:r>
            <w:r w:rsidRPr="00632170">
              <w:rPr>
                <w:rFonts w:ascii="Arial Narrow" w:hAnsi="Arial Narrow"/>
                <w:sz w:val="16"/>
                <w:szCs w:val="16"/>
              </w:rPr>
              <w:t>,</w:t>
            </w:r>
            <w:r w:rsidRPr="00632170">
              <w:rPr>
                <w:rFonts w:ascii="Arial Narrow" w:hAnsi="Arial Narrow"/>
                <w:sz w:val="16"/>
                <w:szCs w:val="16"/>
                <w:lang w:val="en-US"/>
              </w:rPr>
              <w:t>1</w:t>
            </w: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ΑΕΠ ΗΠΑ</w:t>
            </w:r>
          </w:p>
        </w:tc>
        <w:tc>
          <w:tcPr>
            <w:tcW w:w="1133"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rPr>
              <w:t>2,</w:t>
            </w:r>
            <w:r w:rsidRPr="00632170">
              <w:rPr>
                <w:rFonts w:ascii="Arial Narrow" w:hAnsi="Arial Narrow"/>
                <w:sz w:val="16"/>
                <w:szCs w:val="16"/>
                <w:lang w:val="en-US"/>
              </w:rPr>
              <w:t>3</w:t>
            </w:r>
          </w:p>
        </w:tc>
        <w:tc>
          <w:tcPr>
            <w:tcW w:w="1276" w:type="dxa"/>
            <w:shd w:val="clear" w:color="auto" w:fill="FFFFFF"/>
          </w:tcPr>
          <w:p w:rsidR="00927BD5" w:rsidRPr="00632170" w:rsidRDefault="00927BD5" w:rsidP="00927BD5">
            <w:pPr>
              <w:ind w:right="340"/>
              <w:jc w:val="right"/>
              <w:rPr>
                <w:rFonts w:ascii="Arial Narrow" w:hAnsi="Arial Narrow"/>
                <w:sz w:val="16"/>
                <w:szCs w:val="16"/>
              </w:rPr>
            </w:pPr>
            <w:r w:rsidRPr="00632170">
              <w:rPr>
                <w:rFonts w:ascii="Arial Narrow" w:hAnsi="Arial Narrow"/>
                <w:sz w:val="16"/>
                <w:szCs w:val="16"/>
                <w:lang w:val="en-US"/>
              </w:rPr>
              <w:t>-8,0</w:t>
            </w:r>
          </w:p>
        </w:tc>
        <w:tc>
          <w:tcPr>
            <w:tcW w:w="1135" w:type="dxa"/>
            <w:tcBorders>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rPr>
            </w:pPr>
            <w:r w:rsidRPr="00632170">
              <w:rPr>
                <w:rFonts w:ascii="Arial Narrow" w:hAnsi="Arial Narrow"/>
                <w:sz w:val="16"/>
                <w:szCs w:val="16"/>
                <w:lang w:val="en-US"/>
              </w:rPr>
              <w:t>4</w:t>
            </w:r>
            <w:r w:rsidRPr="00632170">
              <w:rPr>
                <w:rFonts w:ascii="Arial Narrow" w:hAnsi="Arial Narrow"/>
                <w:sz w:val="16"/>
                <w:szCs w:val="16"/>
              </w:rPr>
              <w:t>,5</w:t>
            </w: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Όγκος παγκόσμιου εμπορίου (αγαθά και υπηρεσίες)</w:t>
            </w:r>
          </w:p>
        </w:tc>
        <w:tc>
          <w:tcPr>
            <w:tcW w:w="1133"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0,9</w:t>
            </w:r>
          </w:p>
        </w:tc>
        <w:tc>
          <w:tcPr>
            <w:tcW w:w="1276"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-11,9</w:t>
            </w:r>
          </w:p>
        </w:tc>
        <w:tc>
          <w:tcPr>
            <w:tcW w:w="1135" w:type="dxa"/>
            <w:tcBorders>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8,0</w:t>
            </w: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 xml:space="preserve">Πληθωρισμός </w:t>
            </w:r>
          </w:p>
        </w:tc>
        <w:tc>
          <w:tcPr>
            <w:tcW w:w="1133" w:type="dxa"/>
            <w:shd w:val="clear" w:color="auto" w:fill="FFFFFF"/>
          </w:tcPr>
          <w:p w:rsidR="00927BD5" w:rsidRPr="00632170" w:rsidRDefault="00927BD5" w:rsidP="00927BD5">
            <w:pPr>
              <w:ind w:right="340"/>
              <w:jc w:val="right"/>
              <w:rPr>
                <w:rFonts w:ascii="Arial Narrow" w:hAnsi="Arial Narrow"/>
                <w:b/>
                <w:sz w:val="16"/>
                <w:szCs w:val="16"/>
              </w:rPr>
            </w:pPr>
          </w:p>
        </w:tc>
        <w:tc>
          <w:tcPr>
            <w:tcW w:w="1276" w:type="dxa"/>
            <w:shd w:val="clear" w:color="auto" w:fill="FFFFFF"/>
          </w:tcPr>
          <w:p w:rsidR="00927BD5" w:rsidRPr="00632170" w:rsidRDefault="00927BD5" w:rsidP="00927BD5">
            <w:pPr>
              <w:ind w:right="340"/>
              <w:jc w:val="right"/>
              <w:rPr>
                <w:rFonts w:ascii="Arial Narrow" w:hAnsi="Arial Narrow"/>
                <w:b/>
                <w:sz w:val="16"/>
                <w:szCs w:val="16"/>
              </w:rPr>
            </w:pPr>
          </w:p>
        </w:tc>
        <w:tc>
          <w:tcPr>
            <w:tcW w:w="1135" w:type="dxa"/>
            <w:tcBorders>
              <w:right w:val="single" w:sz="8" w:space="0" w:color="000000"/>
            </w:tcBorders>
            <w:shd w:val="clear" w:color="auto" w:fill="FFFFFF"/>
          </w:tcPr>
          <w:p w:rsidR="00927BD5" w:rsidRPr="00632170" w:rsidRDefault="00927BD5" w:rsidP="00927BD5">
            <w:pPr>
              <w:ind w:right="340"/>
              <w:jc w:val="right"/>
              <w:rPr>
                <w:rFonts w:ascii="Arial Narrow" w:hAnsi="Arial Narrow"/>
                <w:b/>
                <w:sz w:val="16"/>
                <w:szCs w:val="16"/>
              </w:rPr>
            </w:pP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tcBorders>
            <w:shd w:val="clear" w:color="auto" w:fill="FFFFFF"/>
          </w:tcPr>
          <w:p w:rsidR="00927BD5" w:rsidRPr="00E01754" w:rsidRDefault="00927BD5" w:rsidP="000D05B1">
            <w:pPr>
              <w:snapToGrid w:val="0"/>
              <w:jc w:val="both"/>
              <w:rPr>
                <w:rFonts w:ascii="Arial Narrow" w:hAnsi="Arial Narrow"/>
                <w:bCs/>
                <w:sz w:val="16"/>
                <w:lang w:val="en-US"/>
              </w:rPr>
            </w:pPr>
            <w:r w:rsidRPr="00E01754">
              <w:rPr>
                <w:rFonts w:ascii="Arial Narrow" w:hAnsi="Arial Narrow"/>
                <w:bCs/>
                <w:sz w:val="16"/>
              </w:rPr>
              <w:t>α. Προηγμένες οικονομίες</w:t>
            </w:r>
          </w:p>
        </w:tc>
        <w:tc>
          <w:tcPr>
            <w:tcW w:w="1133"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rPr>
              <w:t>1,</w:t>
            </w:r>
            <w:r w:rsidRPr="00632170">
              <w:rPr>
                <w:rFonts w:ascii="Arial Narrow" w:hAnsi="Arial Narrow"/>
                <w:sz w:val="16"/>
                <w:szCs w:val="16"/>
                <w:lang w:val="en-US"/>
              </w:rPr>
              <w:t>4</w:t>
            </w:r>
          </w:p>
        </w:tc>
        <w:tc>
          <w:tcPr>
            <w:tcW w:w="1276"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0</w:t>
            </w:r>
            <w:r w:rsidRPr="00632170">
              <w:rPr>
                <w:rFonts w:ascii="Arial Narrow" w:hAnsi="Arial Narrow"/>
                <w:sz w:val="16"/>
                <w:szCs w:val="16"/>
              </w:rPr>
              <w:t>,</w:t>
            </w:r>
            <w:r w:rsidRPr="00632170">
              <w:rPr>
                <w:rFonts w:ascii="Arial Narrow" w:hAnsi="Arial Narrow"/>
                <w:sz w:val="16"/>
                <w:szCs w:val="16"/>
                <w:lang w:val="en-US"/>
              </w:rPr>
              <w:t>3</w:t>
            </w:r>
          </w:p>
        </w:tc>
        <w:tc>
          <w:tcPr>
            <w:tcW w:w="1135" w:type="dxa"/>
            <w:tcBorders>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1</w:t>
            </w:r>
            <w:r w:rsidRPr="00632170">
              <w:rPr>
                <w:rFonts w:ascii="Arial Narrow" w:hAnsi="Arial Narrow"/>
                <w:sz w:val="16"/>
                <w:szCs w:val="16"/>
              </w:rPr>
              <w:t>,</w:t>
            </w:r>
            <w:r w:rsidRPr="00632170">
              <w:rPr>
                <w:rFonts w:ascii="Arial Narrow" w:hAnsi="Arial Narrow"/>
                <w:sz w:val="16"/>
                <w:szCs w:val="16"/>
                <w:lang w:val="en-US"/>
              </w:rPr>
              <w:t>1</w:t>
            </w: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β. Αναδυόμενες και αναπτυσσόμενες οικονομίες</w:t>
            </w:r>
          </w:p>
        </w:tc>
        <w:tc>
          <w:tcPr>
            <w:tcW w:w="1133"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5</w:t>
            </w:r>
            <w:r w:rsidRPr="00632170">
              <w:rPr>
                <w:rFonts w:ascii="Arial Narrow" w:hAnsi="Arial Narrow"/>
                <w:sz w:val="16"/>
                <w:szCs w:val="16"/>
              </w:rPr>
              <w:t>,</w:t>
            </w:r>
            <w:r w:rsidRPr="00632170">
              <w:rPr>
                <w:rFonts w:ascii="Arial Narrow" w:hAnsi="Arial Narrow"/>
                <w:sz w:val="16"/>
                <w:szCs w:val="16"/>
                <w:lang w:val="en-US"/>
              </w:rPr>
              <w:t>1</w:t>
            </w:r>
          </w:p>
        </w:tc>
        <w:tc>
          <w:tcPr>
            <w:tcW w:w="1276" w:type="dxa"/>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4</w:t>
            </w:r>
            <w:r w:rsidRPr="00632170">
              <w:rPr>
                <w:rFonts w:ascii="Arial Narrow" w:hAnsi="Arial Narrow"/>
                <w:sz w:val="16"/>
                <w:szCs w:val="16"/>
              </w:rPr>
              <w:t>,</w:t>
            </w:r>
            <w:r w:rsidRPr="00632170">
              <w:rPr>
                <w:rFonts w:ascii="Arial Narrow" w:hAnsi="Arial Narrow"/>
                <w:sz w:val="16"/>
                <w:szCs w:val="16"/>
                <w:lang w:val="en-US"/>
              </w:rPr>
              <w:t>4</w:t>
            </w:r>
          </w:p>
        </w:tc>
        <w:tc>
          <w:tcPr>
            <w:tcW w:w="1135" w:type="dxa"/>
            <w:tcBorders>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4</w:t>
            </w:r>
            <w:r w:rsidRPr="00632170">
              <w:rPr>
                <w:rFonts w:ascii="Arial Narrow" w:hAnsi="Arial Narrow"/>
                <w:sz w:val="16"/>
                <w:szCs w:val="16"/>
              </w:rPr>
              <w:t>,</w:t>
            </w:r>
            <w:r w:rsidRPr="00632170">
              <w:rPr>
                <w:rFonts w:ascii="Arial Narrow" w:hAnsi="Arial Narrow"/>
                <w:sz w:val="16"/>
                <w:szCs w:val="16"/>
                <w:lang w:val="en-US"/>
              </w:rPr>
              <w:t>5</w:t>
            </w:r>
          </w:p>
        </w:tc>
      </w:tr>
      <w:tr w:rsidR="00927BD5" w:rsidRPr="00E01754" w:rsidTr="000D05B1">
        <w:tblPrEx>
          <w:tblCellMar>
            <w:left w:w="108" w:type="dxa"/>
            <w:right w:w="108" w:type="dxa"/>
          </w:tblCellMar>
        </w:tblPrEx>
        <w:trPr>
          <w:gridAfter w:val="1"/>
          <w:wAfter w:w="30" w:type="dxa"/>
          <w:jc w:val="center"/>
        </w:trPr>
        <w:tc>
          <w:tcPr>
            <w:tcW w:w="4216" w:type="dxa"/>
            <w:tcBorders>
              <w:left w:val="single" w:sz="8" w:space="0" w:color="000000"/>
              <w:bottom w:val="single" w:sz="8" w:space="0" w:color="000000"/>
            </w:tcBorders>
            <w:shd w:val="clear" w:color="auto" w:fill="FFFFFF"/>
          </w:tcPr>
          <w:p w:rsidR="00927BD5" w:rsidRPr="00E01754" w:rsidRDefault="00927BD5" w:rsidP="000D05B1">
            <w:pPr>
              <w:snapToGrid w:val="0"/>
              <w:jc w:val="both"/>
              <w:rPr>
                <w:rFonts w:ascii="Arial Narrow" w:hAnsi="Arial Narrow"/>
                <w:bCs/>
                <w:sz w:val="16"/>
              </w:rPr>
            </w:pPr>
            <w:r w:rsidRPr="00E01754">
              <w:rPr>
                <w:rFonts w:ascii="Arial Narrow" w:hAnsi="Arial Narrow"/>
                <w:bCs/>
                <w:sz w:val="16"/>
              </w:rPr>
              <w:t>Τιμή πετρελαίου (</w:t>
            </w:r>
            <w:r w:rsidRPr="00E01754">
              <w:rPr>
                <w:rFonts w:ascii="Arial Narrow" w:hAnsi="Arial Narrow"/>
                <w:bCs/>
                <w:sz w:val="16"/>
                <w:lang w:val="en-GB"/>
              </w:rPr>
              <w:t>Brent</w:t>
            </w:r>
            <w:r w:rsidRPr="00E01754">
              <w:rPr>
                <w:rFonts w:ascii="Arial Narrow" w:hAnsi="Arial Narrow"/>
                <w:bCs/>
                <w:sz w:val="16"/>
              </w:rPr>
              <w:t xml:space="preserve">, </w:t>
            </w:r>
            <w:r w:rsidRPr="00E01754">
              <w:rPr>
                <w:rFonts w:ascii="Arial Narrow" w:hAnsi="Arial Narrow"/>
                <w:bCs/>
                <w:sz w:val="16"/>
                <w:lang w:val="en-GB"/>
              </w:rPr>
              <w:t>USD</w:t>
            </w:r>
            <w:r w:rsidRPr="00E01754">
              <w:rPr>
                <w:rFonts w:ascii="Arial Narrow" w:hAnsi="Arial Narrow"/>
                <w:bCs/>
                <w:sz w:val="16"/>
              </w:rPr>
              <w:t>/</w:t>
            </w:r>
            <w:r w:rsidRPr="00E01754">
              <w:rPr>
                <w:rFonts w:ascii="Arial Narrow" w:hAnsi="Arial Narrow"/>
                <w:bCs/>
                <w:sz w:val="16"/>
                <w:lang w:val="en-GB"/>
              </w:rPr>
              <w:t>barrel</w:t>
            </w:r>
            <w:r w:rsidRPr="00E01754">
              <w:rPr>
                <w:rFonts w:ascii="Arial Narrow" w:hAnsi="Arial Narrow"/>
                <w:bCs/>
                <w:sz w:val="16"/>
              </w:rPr>
              <w:t>)**</w:t>
            </w:r>
          </w:p>
        </w:tc>
        <w:tc>
          <w:tcPr>
            <w:tcW w:w="1133" w:type="dxa"/>
            <w:tcBorders>
              <w:bottom w:val="single" w:sz="8" w:space="0" w:color="000000"/>
            </w:tcBorders>
            <w:shd w:val="clear" w:color="auto" w:fill="FFFFFF"/>
          </w:tcPr>
          <w:p w:rsidR="00927BD5" w:rsidRPr="00632170" w:rsidRDefault="00927BD5" w:rsidP="00927BD5">
            <w:pPr>
              <w:ind w:right="340"/>
              <w:jc w:val="right"/>
              <w:rPr>
                <w:rFonts w:ascii="Arial Narrow" w:hAnsi="Arial Narrow"/>
                <w:sz w:val="16"/>
                <w:szCs w:val="16"/>
              </w:rPr>
            </w:pPr>
            <w:r w:rsidRPr="00632170">
              <w:rPr>
                <w:rFonts w:ascii="Arial Narrow" w:hAnsi="Arial Narrow"/>
                <w:sz w:val="16"/>
                <w:szCs w:val="16"/>
                <w:lang w:val="en-US"/>
              </w:rPr>
              <w:t>64</w:t>
            </w:r>
            <w:r w:rsidRPr="00632170">
              <w:rPr>
                <w:rFonts w:ascii="Arial Narrow" w:hAnsi="Arial Narrow"/>
                <w:sz w:val="16"/>
                <w:szCs w:val="16"/>
              </w:rPr>
              <w:t>,1</w:t>
            </w:r>
          </w:p>
        </w:tc>
        <w:tc>
          <w:tcPr>
            <w:tcW w:w="1276" w:type="dxa"/>
            <w:tcBorders>
              <w:bottom w:val="single" w:sz="8" w:space="0" w:color="000000"/>
            </w:tcBorders>
            <w:shd w:val="clear" w:color="auto" w:fill="FFFFFF"/>
          </w:tcPr>
          <w:p w:rsidR="00927BD5" w:rsidRPr="00632170" w:rsidRDefault="00927BD5" w:rsidP="00927BD5">
            <w:pPr>
              <w:ind w:right="340"/>
              <w:jc w:val="right"/>
              <w:rPr>
                <w:rFonts w:ascii="Arial Narrow" w:hAnsi="Arial Narrow"/>
                <w:sz w:val="16"/>
                <w:szCs w:val="16"/>
                <w:lang w:val="en-US"/>
              </w:rPr>
            </w:pPr>
            <w:r w:rsidRPr="00632170">
              <w:rPr>
                <w:rFonts w:ascii="Arial Narrow" w:hAnsi="Arial Narrow"/>
                <w:sz w:val="16"/>
                <w:szCs w:val="16"/>
                <w:lang w:val="en-US"/>
              </w:rPr>
              <w:t>41</w:t>
            </w:r>
            <w:r w:rsidRPr="00632170">
              <w:rPr>
                <w:rFonts w:ascii="Arial Narrow" w:hAnsi="Arial Narrow"/>
                <w:sz w:val="16"/>
                <w:szCs w:val="16"/>
              </w:rPr>
              <w:t>,</w:t>
            </w:r>
            <w:r w:rsidRPr="00632170">
              <w:rPr>
                <w:rFonts w:ascii="Arial Narrow" w:hAnsi="Arial Narrow"/>
                <w:sz w:val="16"/>
                <w:szCs w:val="16"/>
                <w:lang w:val="en-US"/>
              </w:rPr>
              <w:t>8</w:t>
            </w:r>
          </w:p>
        </w:tc>
        <w:tc>
          <w:tcPr>
            <w:tcW w:w="1135" w:type="dxa"/>
            <w:tcBorders>
              <w:bottom w:val="single" w:sz="8" w:space="0" w:color="000000"/>
              <w:right w:val="single" w:sz="8" w:space="0" w:color="000000"/>
            </w:tcBorders>
            <w:shd w:val="clear" w:color="auto" w:fill="FFFFFF"/>
          </w:tcPr>
          <w:p w:rsidR="00927BD5" w:rsidRPr="00632170" w:rsidRDefault="00927BD5" w:rsidP="00927BD5">
            <w:pPr>
              <w:ind w:right="340"/>
              <w:jc w:val="right"/>
              <w:rPr>
                <w:rFonts w:ascii="Arial Narrow" w:hAnsi="Arial Narrow"/>
                <w:sz w:val="16"/>
                <w:szCs w:val="16"/>
              </w:rPr>
            </w:pPr>
            <w:r w:rsidRPr="00632170">
              <w:rPr>
                <w:rFonts w:ascii="Arial Narrow" w:hAnsi="Arial Narrow"/>
                <w:sz w:val="16"/>
                <w:szCs w:val="16"/>
                <w:lang w:val="en-US"/>
              </w:rPr>
              <w:t>43</w:t>
            </w:r>
            <w:r w:rsidRPr="00632170">
              <w:rPr>
                <w:rFonts w:ascii="Arial Narrow" w:hAnsi="Arial Narrow"/>
                <w:sz w:val="16"/>
                <w:szCs w:val="16"/>
              </w:rPr>
              <w:t>,1</w:t>
            </w:r>
          </w:p>
        </w:tc>
      </w:tr>
    </w:tbl>
    <w:p w:rsidR="000D05B1" w:rsidRPr="00E01754" w:rsidRDefault="000D05B1" w:rsidP="000D05B1">
      <w:pPr>
        <w:ind w:left="720" w:right="706" w:hanging="11"/>
        <w:rPr>
          <w:rFonts w:ascii="Arial Narrow" w:hAnsi="Arial Narrow"/>
          <w:sz w:val="16"/>
          <w:szCs w:val="16"/>
          <w:lang w:val="en-US"/>
        </w:rPr>
      </w:pPr>
      <w:r w:rsidRPr="00E01754">
        <w:rPr>
          <w:rFonts w:ascii="Arial Narrow" w:hAnsi="Arial Narrow"/>
          <w:sz w:val="16"/>
          <w:szCs w:val="16"/>
        </w:rPr>
        <w:t>Πηγές</w:t>
      </w:r>
      <w:r w:rsidRPr="00E01754">
        <w:rPr>
          <w:rFonts w:ascii="Arial Narrow" w:hAnsi="Arial Narrow"/>
          <w:sz w:val="16"/>
          <w:szCs w:val="16"/>
          <w:lang w:val="en-US"/>
        </w:rPr>
        <w:t xml:space="preserve">: </w:t>
      </w:r>
      <w:r w:rsidRPr="00E01754">
        <w:rPr>
          <w:rFonts w:ascii="Arial Narrow" w:hAnsi="Arial Narrow"/>
          <w:sz w:val="16"/>
          <w:szCs w:val="16"/>
          <w:lang w:val="en-GB"/>
        </w:rPr>
        <w:t>IMF</w:t>
      </w:r>
      <w:r w:rsidRPr="00E01754">
        <w:rPr>
          <w:rFonts w:ascii="Arial Narrow" w:hAnsi="Arial Narrow"/>
          <w:sz w:val="16"/>
          <w:szCs w:val="16"/>
          <w:lang w:val="en-US"/>
        </w:rPr>
        <w:t xml:space="preserve">, </w:t>
      </w:r>
      <w:r w:rsidRPr="00E01754">
        <w:rPr>
          <w:rFonts w:ascii="Arial Narrow" w:hAnsi="Arial Narrow"/>
          <w:sz w:val="16"/>
          <w:szCs w:val="16"/>
          <w:lang w:val="en-GB"/>
        </w:rPr>
        <w:t>World</w:t>
      </w:r>
      <w:r w:rsidRPr="00E01754">
        <w:rPr>
          <w:rFonts w:ascii="Arial Narrow" w:hAnsi="Arial Narrow"/>
          <w:sz w:val="16"/>
          <w:szCs w:val="16"/>
          <w:lang w:val="en-US"/>
        </w:rPr>
        <w:t xml:space="preserve"> </w:t>
      </w:r>
      <w:r w:rsidRPr="00E01754">
        <w:rPr>
          <w:rFonts w:ascii="Arial Narrow" w:hAnsi="Arial Narrow"/>
          <w:sz w:val="16"/>
          <w:szCs w:val="16"/>
          <w:lang w:val="en-GB"/>
        </w:rPr>
        <w:t>Economic</w:t>
      </w:r>
      <w:r w:rsidRPr="00E01754">
        <w:rPr>
          <w:rFonts w:ascii="Arial Narrow" w:hAnsi="Arial Narrow"/>
          <w:sz w:val="16"/>
          <w:szCs w:val="16"/>
          <w:lang w:val="en-US"/>
        </w:rPr>
        <w:t xml:space="preserve"> </w:t>
      </w:r>
      <w:r w:rsidRPr="00E01754">
        <w:rPr>
          <w:rFonts w:ascii="Arial Narrow" w:hAnsi="Arial Narrow"/>
          <w:sz w:val="16"/>
          <w:szCs w:val="16"/>
          <w:lang w:val="en-GB"/>
        </w:rPr>
        <w:t>Outlook</w:t>
      </w:r>
      <w:r w:rsidRPr="00E01754">
        <w:rPr>
          <w:rFonts w:ascii="Arial Narrow" w:hAnsi="Arial Narrow"/>
          <w:sz w:val="16"/>
          <w:szCs w:val="16"/>
          <w:lang w:val="en-US"/>
        </w:rPr>
        <w:t xml:space="preserve">, </w:t>
      </w:r>
      <w:r w:rsidR="00927BD5">
        <w:rPr>
          <w:rFonts w:ascii="Arial Narrow" w:hAnsi="Arial Narrow"/>
          <w:sz w:val="16"/>
          <w:szCs w:val="16"/>
        </w:rPr>
        <w:t>Ιούν</w:t>
      </w:r>
      <w:r w:rsidRPr="00E01754">
        <w:rPr>
          <w:rFonts w:ascii="Arial Narrow" w:hAnsi="Arial Narrow"/>
          <w:sz w:val="16"/>
          <w:szCs w:val="16"/>
        </w:rPr>
        <w:t>ιος</w:t>
      </w:r>
      <w:r w:rsidRPr="00E01754">
        <w:rPr>
          <w:rFonts w:ascii="Arial Narrow" w:hAnsi="Arial Narrow"/>
          <w:sz w:val="16"/>
          <w:szCs w:val="16"/>
          <w:lang w:val="en-US"/>
        </w:rPr>
        <w:t xml:space="preserve"> 20</w:t>
      </w:r>
      <w:r w:rsidR="00927BD5" w:rsidRPr="00927BD5">
        <w:rPr>
          <w:rFonts w:ascii="Arial Narrow" w:hAnsi="Arial Narrow"/>
          <w:sz w:val="16"/>
          <w:szCs w:val="16"/>
          <w:lang w:val="en-US"/>
        </w:rPr>
        <w:t>20</w:t>
      </w:r>
      <w:r w:rsidRPr="00E01754">
        <w:rPr>
          <w:rFonts w:ascii="Arial Narrow" w:hAnsi="Arial Narrow"/>
          <w:sz w:val="16"/>
          <w:szCs w:val="16"/>
          <w:lang w:val="en-US"/>
        </w:rPr>
        <w:t>.</w:t>
      </w:r>
    </w:p>
    <w:p w:rsidR="000D05B1" w:rsidRPr="00E01754" w:rsidRDefault="000D05B1" w:rsidP="000D05B1">
      <w:pPr>
        <w:ind w:left="851" w:right="706" w:hanging="142"/>
        <w:rPr>
          <w:rFonts w:ascii="Arial Narrow" w:hAnsi="Arial Narrow"/>
          <w:sz w:val="16"/>
          <w:szCs w:val="16"/>
        </w:rPr>
      </w:pPr>
      <w:r w:rsidRPr="00E01754">
        <w:rPr>
          <w:rFonts w:ascii="Arial Narrow" w:hAnsi="Arial Narrow"/>
          <w:sz w:val="16"/>
          <w:szCs w:val="16"/>
        </w:rPr>
        <w:t xml:space="preserve">* </w:t>
      </w:r>
      <w:r w:rsidRPr="00E01754">
        <w:rPr>
          <w:rFonts w:ascii="Arial Narrow" w:hAnsi="Arial Narrow"/>
          <w:sz w:val="16"/>
          <w:szCs w:val="16"/>
        </w:rPr>
        <w:tab/>
        <w:t>Εκτιμήσεις/προβλέψεις.</w:t>
      </w:r>
    </w:p>
    <w:p w:rsidR="000D05B1" w:rsidRPr="00E01754" w:rsidRDefault="000D05B1" w:rsidP="000D05B1">
      <w:pPr>
        <w:ind w:left="720" w:right="706" w:hanging="11"/>
        <w:rPr>
          <w:rFonts w:ascii="Arial Narrow" w:hAnsi="Arial Narrow"/>
          <w:sz w:val="16"/>
          <w:szCs w:val="16"/>
        </w:rPr>
      </w:pPr>
      <w:r w:rsidRPr="00E01754">
        <w:rPr>
          <w:rFonts w:ascii="Arial Narrow" w:hAnsi="Arial Narrow"/>
          <w:sz w:val="16"/>
          <w:szCs w:val="16"/>
        </w:rPr>
        <w:t xml:space="preserve">** </w:t>
      </w:r>
      <w:r w:rsidR="00927BD5">
        <w:rPr>
          <w:rFonts w:ascii="Arial Narrow" w:hAnsi="Arial Narrow"/>
          <w:sz w:val="16"/>
          <w:szCs w:val="16"/>
        </w:rPr>
        <w:t>Θερινές ε</w:t>
      </w:r>
      <w:r w:rsidRPr="00E01754">
        <w:rPr>
          <w:rFonts w:ascii="Arial Narrow" w:hAnsi="Arial Narrow"/>
          <w:sz w:val="16"/>
          <w:szCs w:val="16"/>
        </w:rPr>
        <w:t xml:space="preserve">νδιάμεσες </w:t>
      </w:r>
      <w:r w:rsidR="00927BD5">
        <w:rPr>
          <w:rFonts w:ascii="Arial Narrow" w:hAnsi="Arial Narrow"/>
          <w:sz w:val="16"/>
          <w:szCs w:val="16"/>
        </w:rPr>
        <w:t>π</w:t>
      </w:r>
      <w:r w:rsidRPr="00E01754">
        <w:rPr>
          <w:rFonts w:ascii="Arial Narrow" w:hAnsi="Arial Narrow"/>
          <w:sz w:val="16"/>
          <w:szCs w:val="16"/>
        </w:rPr>
        <w:t>ροβλέψεις Ευρωπαϊκής Επιτροπής</w:t>
      </w:r>
      <w:r w:rsidR="00927BD5">
        <w:rPr>
          <w:rFonts w:ascii="Arial Narrow" w:hAnsi="Arial Narrow"/>
          <w:sz w:val="16"/>
          <w:szCs w:val="16"/>
        </w:rPr>
        <w:t xml:space="preserve">, </w:t>
      </w:r>
      <w:r w:rsidRPr="00E01754">
        <w:rPr>
          <w:rFonts w:ascii="Arial Narrow" w:hAnsi="Arial Narrow"/>
          <w:sz w:val="16"/>
          <w:szCs w:val="16"/>
        </w:rPr>
        <w:t>Ιούλιος 20</w:t>
      </w:r>
      <w:r w:rsidR="00927BD5">
        <w:rPr>
          <w:rFonts w:ascii="Arial Narrow" w:hAnsi="Arial Narrow"/>
          <w:sz w:val="16"/>
          <w:szCs w:val="16"/>
        </w:rPr>
        <w:t>20</w:t>
      </w:r>
      <w:r w:rsidRPr="00E01754">
        <w:rPr>
          <w:rFonts w:ascii="Arial Narrow" w:hAnsi="Arial Narrow"/>
          <w:sz w:val="16"/>
          <w:szCs w:val="16"/>
        </w:rPr>
        <w:t>).</w:t>
      </w:r>
    </w:p>
    <w:p w:rsidR="000D05B1" w:rsidRDefault="000D05B1" w:rsidP="000D05B1">
      <w:pPr>
        <w:jc w:val="both"/>
        <w:rPr>
          <w:szCs w:val="22"/>
        </w:rPr>
      </w:pPr>
    </w:p>
    <w:p w:rsidR="001853CC" w:rsidRPr="00E01754" w:rsidRDefault="001853CC" w:rsidP="000D05B1">
      <w:pPr>
        <w:jc w:val="both"/>
        <w:rPr>
          <w:szCs w:val="22"/>
        </w:rPr>
      </w:pPr>
    </w:p>
    <w:p w:rsidR="001853CC" w:rsidRPr="001853CC" w:rsidRDefault="001853CC" w:rsidP="001853CC">
      <w:pPr>
        <w:jc w:val="both"/>
        <w:rPr>
          <w:szCs w:val="22"/>
        </w:rPr>
      </w:pPr>
      <w:r w:rsidRPr="001853CC">
        <w:rPr>
          <w:bCs/>
          <w:szCs w:val="22"/>
        </w:rPr>
        <w:t>Στις προηγμένες οικονομίες, μετά τη συρρίκνωση της πραγματικής οικονομίας κατά 8,0% το 2020, αναμένεται κατά μέσο όρο μερική ανάκαμψη κατά 4,8% το 2021, με το επίπεδο του ΑΕΠ να υπολείπεται κατά 4% του επιπέδου του 2019.</w:t>
      </w:r>
      <w:r w:rsidRPr="001853CC">
        <w:rPr>
          <w:b/>
          <w:bCs/>
          <w:szCs w:val="22"/>
        </w:rPr>
        <w:t xml:space="preserve"> </w:t>
      </w:r>
      <w:r w:rsidRPr="001853CC">
        <w:rPr>
          <w:szCs w:val="22"/>
        </w:rPr>
        <w:t>Για τις ΗΠΑ, το ΔΝΤ προβλέπει ανάπτυξη 4,5%, έναντι εκτιμώμενης υποχώρησης του ΑΕΠ κατά 8,0% το 2020.</w:t>
      </w:r>
      <w:r w:rsidRPr="001853CC">
        <w:rPr>
          <w:b/>
          <w:bCs/>
          <w:szCs w:val="22"/>
        </w:rPr>
        <w:t xml:space="preserve"> </w:t>
      </w:r>
    </w:p>
    <w:p w:rsidR="001853CC" w:rsidRDefault="001853CC" w:rsidP="001853CC">
      <w:pPr>
        <w:jc w:val="both"/>
        <w:rPr>
          <w:bCs/>
          <w:szCs w:val="22"/>
        </w:rPr>
      </w:pPr>
    </w:p>
    <w:p w:rsidR="001853CC" w:rsidRPr="001853CC" w:rsidRDefault="001853CC" w:rsidP="001853CC">
      <w:pPr>
        <w:jc w:val="both"/>
        <w:rPr>
          <w:szCs w:val="22"/>
        </w:rPr>
      </w:pPr>
      <w:r w:rsidRPr="001853CC">
        <w:rPr>
          <w:bCs/>
          <w:szCs w:val="22"/>
        </w:rPr>
        <w:t>Στις αναπτυσσόμενες οικονομίες ο ρυθμός αύξησης του πραγματικού ΑΕΠ αναμένεται στο 5,9% το 2021 (αντανακλώντας την εύρωστη ανάκαμψη της Κίνας κατά 8,2%), μετά από ύφεση 3,0% το 2020. Σε αδρές γραμμές, σύμφωνα με το ΔΝΤ, το ΑΕΠ στις</w:t>
      </w:r>
      <w:r w:rsidRPr="001853CC">
        <w:rPr>
          <w:szCs w:val="22"/>
        </w:rPr>
        <w:t xml:space="preserve"> αναδυόμενες αγορές και αναπτυσσόμενες οικονομίες αναμένεται να συρρικνωθεί λιγότερο το 2020 και να αυξηθεί περισσότερο το 2021 σε σχέση με τις προηγμένες οικονομίες. </w:t>
      </w:r>
    </w:p>
    <w:p w:rsidR="001853CC" w:rsidRDefault="001853CC" w:rsidP="001853CC">
      <w:pPr>
        <w:jc w:val="both"/>
        <w:rPr>
          <w:bCs/>
          <w:szCs w:val="22"/>
        </w:rPr>
      </w:pPr>
    </w:p>
    <w:p w:rsidR="001853CC" w:rsidRPr="001853CC" w:rsidRDefault="001853CC" w:rsidP="001853CC">
      <w:pPr>
        <w:jc w:val="both"/>
        <w:rPr>
          <w:szCs w:val="22"/>
        </w:rPr>
      </w:pPr>
      <w:r w:rsidRPr="001853CC">
        <w:rPr>
          <w:bCs/>
          <w:szCs w:val="22"/>
        </w:rPr>
        <w:t>Το 2021 ο όγκος του παγκόσμιου εμπορίου αναμένεται να κινηθεί με θετικό ρυθμό ανάπτυξης της τάξης του 8%, εν μέσω εξάλειψης του αντίκτυπου από τις διαταραχές στις εφοδιαστικές αλυσίδες και τα κλειστά σύνορα στην προσφορά και τη ζήτηση.</w:t>
      </w:r>
      <w:r w:rsidRPr="001853CC">
        <w:rPr>
          <w:szCs w:val="22"/>
        </w:rPr>
        <w:t xml:space="preserve"> Η εξωτερική ζήτηση αγαθών και υπηρεσιών της Ευρωζώνης αναμένεται να ανακάμψει σημαντικά. Αν και η αυξημένη αβεβαιότητα για τις οικονομικές προοπτικές συνεχίζει να επηρεάζει αρνητικά τις καταναλωτικές δαπάνες και τις επενδύσεις των επιχειρήσεων, η εξωτερική ζήτηση προβλέπεται να ανακάμψει κατά 6,9% το 2021 και να αυξηθεί περαιτέρω κατά 3,7% το 2022, έναντι υποχώρησης κατά 12,5% το 2020, σύμφωνα με τα στοιχεία της Ευρωπαϊκής Κεντρικής Τράπεζας</w:t>
      </w:r>
      <w:r w:rsidRPr="001853CC">
        <w:rPr>
          <w:szCs w:val="22"/>
          <w:vertAlign w:val="superscript"/>
        </w:rPr>
        <w:footnoteReference w:id="20"/>
      </w:r>
      <w:r w:rsidRPr="001853CC">
        <w:rPr>
          <w:szCs w:val="22"/>
        </w:rPr>
        <w:t>.</w:t>
      </w:r>
    </w:p>
    <w:p w:rsidR="001853CC" w:rsidRDefault="001853CC" w:rsidP="001853CC">
      <w:pPr>
        <w:jc w:val="both"/>
        <w:rPr>
          <w:szCs w:val="22"/>
        </w:rPr>
      </w:pPr>
    </w:p>
    <w:p w:rsidR="001853CC" w:rsidRPr="001853CC" w:rsidRDefault="001853CC" w:rsidP="001853CC">
      <w:pPr>
        <w:jc w:val="both"/>
        <w:rPr>
          <w:szCs w:val="22"/>
        </w:rPr>
      </w:pPr>
      <w:r w:rsidRPr="001853CC">
        <w:rPr>
          <w:szCs w:val="22"/>
        </w:rPr>
        <w:t>Ο παγκόσμιος πληθωρισμός</w:t>
      </w:r>
      <w:r w:rsidRPr="001853CC">
        <w:rPr>
          <w:b/>
          <w:szCs w:val="22"/>
        </w:rPr>
        <w:t xml:space="preserve"> </w:t>
      </w:r>
      <w:r w:rsidRPr="001853CC">
        <w:rPr>
          <w:szCs w:val="22"/>
        </w:rPr>
        <w:t>αναμένεται να κινηθεί ανοδικά, σε 1,1% για τις αναπτυγμένες και σε 4,5% για τις αναπτυσσόμενες οικονομίες το 2021, ως αποτέλεσμα της ανάκαμψης της ζήτησης, της αύξησης των διεθνών τιμών ενέργειας και της ενίσχυσης της νομισματικής στήριξης. Η μέση τιμή του αργού πετρελαίου εκτιμάται να αυξηθεί στα 43,1 δολάρια το βαρέλι το 2021 από 41,8 δολάρια το 2020.</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Οι προοπτικές των διεθνών οικονομικών εξελίξεων τόσο μεσοπρόθεσμα όσο και μακροπρόθεσμα χαρακτηρίζονται από υψηλή αβεβαιότητα. Η αβεβαιότητα αυτή συνδέεται με το άγνωστο της διάρκειας της υγειονομικής κρίσης και την ταχύτητα εξόδου από τα περιοριστικά μέτρα παγκοσμίως. Ταυτόχρονα, συνδέεται και με την ανθεκτικότητα των οικονομιών και την ικανότητά τους να απορροφήσουν τη μεγαλύτερη ύφεση που γνώρισαν μεταπολεμικά. Ο προσωρινός και όχι διαρθρωτικός χαρακτήρας της κρίσης, καθώς και η άμεση, εκτεταμένη και διεθνώς συντονισμένη μακροοικονομική αντίδραση, ενδέχεται να επιτρέψουν μια σχετικά ταχεία ανάκαμψη, ωστόσο οι καθοδικοί κίνδυνοι για τις προβλέψεις αυτές ενισχύονται, καθώς η πανδημία εμφανίζει νέα έξαρση και διαφαίνεται ότι θα επιβληθούν νέα περιοριστικά μέτρα παγκοσμίως. Αντίθετα, η εύρεση μιας αποτελεσματικής θεραπείας ή/και εμβολίου για την αντιμετώπιση του </w:t>
      </w:r>
      <w:proofErr w:type="spellStart"/>
      <w:r w:rsidRPr="001853CC">
        <w:rPr>
          <w:szCs w:val="22"/>
        </w:rPr>
        <w:t>κορωνοϊού</w:t>
      </w:r>
      <w:proofErr w:type="spellEnd"/>
      <w:r w:rsidRPr="001853CC">
        <w:rPr>
          <w:szCs w:val="22"/>
        </w:rPr>
        <w:t xml:space="preserve"> θα έχει θετικές επιδράσεις στην παγκόσμια οικονομία. </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Τέλος, στους κινδύνους, πέραν της υγειονομικής κρίσης, προστίθενται η αύξηση μακροοικονομικών ανισορροπιών ως συνέπεια της παρούσας κρίσης, η αναζωπύρωση υφιστάμενων κινδύνων όπως η κλιμάκωση των εμπορικών εντάσεων μεταξύ των μεγάλων οικονομιών, οι γεωπολιτικοί και πολιτικοί κίνδυνοι, καθώς και η επιδείνωση της προσφυγικής κρίσης, παράγοντες οι οποίοι αποτελούν τροχοπέδη στην πορεία της παγκόσμιας οικονομίας. </w:t>
      </w:r>
    </w:p>
    <w:p w:rsidR="001853CC" w:rsidRDefault="001853CC" w:rsidP="001853CC">
      <w:pPr>
        <w:jc w:val="both"/>
        <w:rPr>
          <w:szCs w:val="22"/>
        </w:rPr>
      </w:pPr>
    </w:p>
    <w:p w:rsidR="001853CC" w:rsidRPr="001853CC" w:rsidRDefault="001853CC" w:rsidP="001853CC">
      <w:pPr>
        <w:jc w:val="both"/>
        <w:rPr>
          <w:szCs w:val="22"/>
        </w:rPr>
      </w:pPr>
      <w:r w:rsidRPr="001853CC">
        <w:rPr>
          <w:szCs w:val="22"/>
        </w:rPr>
        <w:lastRenderedPageBreak/>
        <w:t xml:space="preserve">Οι ανωτέρω αναφερόμενοι κίνδυνοι συνοψίζουν τους αντίστοιχους κινδύνους με τους οποίους βρίσκεται αντιμέτωπη και η ελληνική οικονομία. Ωστόσο, αρκετοί παράγοντες συνηγορούν στην ταχεία επαναφορά της ελληνικής οικονομίας σε τροχιά ανάπτυξης το 2021. </w:t>
      </w:r>
    </w:p>
    <w:p w:rsidR="001853CC" w:rsidRDefault="001853CC" w:rsidP="001853CC">
      <w:pPr>
        <w:jc w:val="both"/>
        <w:rPr>
          <w:szCs w:val="22"/>
        </w:rPr>
      </w:pPr>
    </w:p>
    <w:p w:rsidR="001853CC" w:rsidRPr="001853CC" w:rsidRDefault="001853CC" w:rsidP="001853CC">
      <w:pPr>
        <w:jc w:val="both"/>
        <w:rPr>
          <w:szCs w:val="22"/>
        </w:rPr>
      </w:pPr>
      <w:r w:rsidRPr="001853CC">
        <w:rPr>
          <w:szCs w:val="22"/>
        </w:rPr>
        <w:t>Μεταξύ αυτών είναι, αφενός, τα νέα μέτρα ενίσχυσης των εισοδημάτων και της απασχόλησης</w:t>
      </w:r>
      <w:r w:rsidRPr="001853CC">
        <w:rPr>
          <w:szCs w:val="22"/>
          <w:vertAlign w:val="superscript"/>
        </w:rPr>
        <w:footnoteReference w:id="21"/>
      </w:r>
      <w:r w:rsidRPr="001853CC">
        <w:rPr>
          <w:szCs w:val="22"/>
        </w:rPr>
        <w:t xml:space="preserve"> στο πλαίσιο αντιμετώπισης των επιπτώσεων της πανδημίας, με έναρξη και περίοδο εφαρμογής το 2021, τα οποία αναμένεται να επιδράσουν θετικά στο πραγματικό ΑΕΠ κατά 1,5 δισ. ευρώ ή 0,8% του ΑΕΠ του 2020. </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Αφετέρου, βάσιμη υπόθεση αποτελεί η επιτάχυνση των μεταρρυθμίσεων, εν μέσω ευνοϊκότερης οικονομικής συγκυρίας, δεδομένης της διατήρησης της μεταρρυθμιστικής προόδου στην Ελλάδα ακόμα και εντός της κρίσης της πανδημίας, όπως αναγνωρίστηκε στην Έβδομη Έκθεση Ενισχυμένης Εποπτείας, τον Σεπτέμβριο του 2020. </w:t>
      </w:r>
    </w:p>
    <w:p w:rsidR="001853CC" w:rsidRDefault="001853CC" w:rsidP="001853CC">
      <w:pPr>
        <w:jc w:val="both"/>
        <w:rPr>
          <w:szCs w:val="22"/>
        </w:rPr>
      </w:pPr>
    </w:p>
    <w:p w:rsidR="001853CC" w:rsidRPr="001853CC" w:rsidRDefault="001853CC" w:rsidP="001853CC">
      <w:pPr>
        <w:jc w:val="both"/>
        <w:rPr>
          <w:szCs w:val="22"/>
        </w:rPr>
      </w:pPr>
      <w:r w:rsidRPr="001853CC">
        <w:rPr>
          <w:szCs w:val="22"/>
        </w:rPr>
        <w:t>Επιπλέον, η συμβολή στην ανάπτυξη των ευρωπαϊκών κονδυλίων του Μηχανισμού Ανάκαμψης και Ανθεκτικότητας (</w:t>
      </w:r>
      <w:r w:rsidRPr="001853CC">
        <w:rPr>
          <w:szCs w:val="22"/>
          <w:lang w:val="en-US"/>
        </w:rPr>
        <w:t>Recovery</w:t>
      </w:r>
      <w:r w:rsidRPr="001853CC">
        <w:rPr>
          <w:szCs w:val="22"/>
        </w:rPr>
        <w:t xml:space="preserve"> </w:t>
      </w:r>
      <w:r w:rsidRPr="001853CC">
        <w:rPr>
          <w:szCs w:val="22"/>
          <w:lang w:val="en-US"/>
        </w:rPr>
        <w:t>and</w:t>
      </w:r>
      <w:r w:rsidRPr="001853CC">
        <w:rPr>
          <w:szCs w:val="22"/>
        </w:rPr>
        <w:t xml:space="preserve"> </w:t>
      </w:r>
      <w:r w:rsidRPr="001853CC">
        <w:rPr>
          <w:szCs w:val="22"/>
          <w:lang w:val="en-US"/>
        </w:rPr>
        <w:t>Resilience</w:t>
      </w:r>
      <w:r w:rsidRPr="001853CC">
        <w:rPr>
          <w:szCs w:val="22"/>
        </w:rPr>
        <w:t xml:space="preserve"> </w:t>
      </w:r>
      <w:r w:rsidRPr="001853CC">
        <w:rPr>
          <w:szCs w:val="22"/>
          <w:lang w:val="en-US"/>
        </w:rPr>
        <w:t>Facility</w:t>
      </w:r>
      <w:r w:rsidRPr="001853CC">
        <w:rPr>
          <w:szCs w:val="22"/>
        </w:rPr>
        <w:t>) του Σχεδίου Ανάκαμψης αναμένεται να φτάσει το 2021 το 2% του ΑΕΠ</w:t>
      </w:r>
      <w:r w:rsidRPr="001853CC">
        <w:rPr>
          <w:szCs w:val="22"/>
          <w:vertAlign w:val="superscript"/>
        </w:rPr>
        <w:footnoteReference w:id="22"/>
      </w:r>
      <w:r w:rsidRPr="001853CC">
        <w:rPr>
          <w:szCs w:val="22"/>
        </w:rPr>
        <w:t>, καταδεικνύοντας τα βραχυχρόνια οφέλη που συμπληρώνουν την επίδραση του Μηχανισμού σε όρους μακροπρόθεσμου μετασχηματισμού της οικονομίας.</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Στη βάση των ανωτέρω, και παρά τις αναθεωρημένες επί τα </w:t>
      </w:r>
      <w:proofErr w:type="spellStart"/>
      <w:r w:rsidRPr="001853CC">
        <w:rPr>
          <w:szCs w:val="22"/>
        </w:rPr>
        <w:t>χείρω</w:t>
      </w:r>
      <w:proofErr w:type="spellEnd"/>
      <w:r w:rsidRPr="001853CC">
        <w:rPr>
          <w:szCs w:val="22"/>
        </w:rPr>
        <w:t xml:space="preserve"> εκτιμήσεις επίδρασης στην ανάπτυξη του 2021 από τον εξωτερικό τουρισμό και τη διάρκεια της πανδημίας, το πραγματικό ΑΕΠ αναμένεται να ανακτήσει το 2021 το 83,2% των απωλειών του 2020, διαμορφούμενο κάτω από το επίπεδο του 2019 κατά 1,4 ποσοστιαίες μονάδες, με ετήσιο ρυθμό αύξησης 7,5%. </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Στην ανάκτηση της χαμένης δυναμικής αναμένεται να συμβάλουν όλες οι συνιστώσες της εγχώριας ζήτησης πλην της δημόσιας κατανάλωσης, η οποία προβλέπεται ότι θα μειωθεί κατά 1,8% λόγω των υψηλών δαπανών του 2020 για την αντιμετώπιση της πανδημίας. </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Η πραγματική ιδιωτική κατανάλωση αναμένεται να στηριχθεί από την εκ νέου θετική προοπτική της αγοράς εργασίας, αυξανόμενη σημαντικά κατά 5,8% έναντι του 2020. Η συνολική και η μισθωτή απασχόληση εκτιμάται ότι θα αυξηθούν κατά 5,2% και 6,4% αντίστοιχα, εν μέσω αύξησης του οικονομικά ενεργού πληθυσμού κατά 2,8% σε ετήσια βάση. </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Για τις πραγματικές επενδύσεις, η ομαλή και έγκαιρη απορρόφηση των κονδυλίων από το Ταμείο Ανάκαμψης αποτελεί κλειδί, ώστε να προσεγγίσουν τη συνεισφορά της ιδιωτικής κατανάλωσης στο ΑΕΠ το 2021, αγγίζοντας ρυθμό ετήσιας αύξησης 30,4%. Τα κονδύλια του Μηχανισμού Ανάκαμψης και Ανθεκτικότητας εκτιμάται ότι θα κατευθυνθούν σε επενδύσεις κατά ποσοστό 70% της συνολικής κατανομής επιχορηγήσεων και δανείων για το έτος, με ισχυρά πολλαπλασιαστικά οφέλη για το σύνολο της οικονομίας, μέσω της ανάπτυξης υποδομών, δικτύων και των συνεργειών σε τεχνολογικούς τομείς. </w:t>
      </w:r>
    </w:p>
    <w:p w:rsidR="001853CC" w:rsidRDefault="001853CC" w:rsidP="001853CC">
      <w:pPr>
        <w:jc w:val="both"/>
        <w:rPr>
          <w:szCs w:val="22"/>
        </w:rPr>
      </w:pPr>
    </w:p>
    <w:p w:rsidR="001853CC" w:rsidRPr="001853CC" w:rsidRDefault="001853CC" w:rsidP="001853CC">
      <w:pPr>
        <w:jc w:val="both"/>
        <w:rPr>
          <w:szCs w:val="22"/>
        </w:rPr>
      </w:pPr>
      <w:r w:rsidRPr="001853CC">
        <w:rPr>
          <w:szCs w:val="22"/>
        </w:rPr>
        <w:lastRenderedPageBreak/>
        <w:t xml:space="preserve">Οι βελτιωμένες εξωτερικές υποθέσεις έναντι του 2020 όσον αφορά το παγκόσμιο εμπόριο και την ανάπτυξη στην Ευρωζώνη, αναμένεται να στηρίξουν την ανάκαμψη των μεταφορών και, μετριοπαθώς, του τουριστικού κλάδου, με τις καθαρές εξαγωγές υπηρεσιών να συμβάλλουν θετικά στο ΑΕΠ κατά 3,4 ποσοστιαίες μονάδες το 2021. Αντίθετα, οι καθαρές εξαγωγές αγαθών αναμένεται να μειωθούν κατά 2,9% του ΑΕΠ το 2021, εξαιτίας της μεγάλης αύξησης των εισαγωγών αγαθών εν μέσω επενδύσεων σε κατασκευαστικό και τεχνολογικό εξοπλισμό στο πλαίσιο υλοποίησης του Μηχανισμού Ανάκαμψης και Ανθεκτικότητας. </w:t>
      </w:r>
    </w:p>
    <w:p w:rsidR="00697FE0" w:rsidRDefault="00697FE0" w:rsidP="001853CC">
      <w:pPr>
        <w:jc w:val="both"/>
        <w:rPr>
          <w:szCs w:val="22"/>
        </w:rPr>
      </w:pPr>
    </w:p>
    <w:p w:rsidR="001853CC" w:rsidRPr="001853CC" w:rsidRDefault="001853CC" w:rsidP="001853CC">
      <w:pPr>
        <w:jc w:val="both"/>
        <w:rPr>
          <w:szCs w:val="22"/>
        </w:rPr>
      </w:pPr>
      <w:r w:rsidRPr="001853CC">
        <w:rPr>
          <w:szCs w:val="22"/>
        </w:rPr>
        <w:t xml:space="preserve">Ο πληθωρισμός αναμένεται να κινηθεί ελαφρώς ανοδικά, δεδομένης της αναθερμασμένης ζήτησης, στο 0,6% έναντι του 2020, συμβάλλοντας στην αύξηση του πραγματικού μέσου μισθού κατά 0,9% σε ετήσια βάση. </w:t>
      </w:r>
    </w:p>
    <w:p w:rsidR="001853CC" w:rsidRDefault="001853CC" w:rsidP="001853CC">
      <w:pPr>
        <w:jc w:val="both"/>
        <w:rPr>
          <w:szCs w:val="22"/>
        </w:rPr>
      </w:pPr>
    </w:p>
    <w:p w:rsidR="001853CC" w:rsidRPr="001853CC" w:rsidRDefault="001853CC" w:rsidP="001853CC">
      <w:pPr>
        <w:jc w:val="both"/>
        <w:rPr>
          <w:szCs w:val="22"/>
        </w:rPr>
      </w:pPr>
      <w:r w:rsidRPr="001853CC">
        <w:rPr>
          <w:szCs w:val="22"/>
        </w:rPr>
        <w:t xml:space="preserve">Η ανεργία προβλέπεται στο 16,5% του εργατικού δυναμικού, βελτιωμένη κατά 2,1 ποσοστιαίες μονάδες έναντι του 2020, καθώς ο αριθμός ανέργων θα μειώνεται εκ νέου το 2021 και ο αριθμός απασχολούμενων θα αυξάνεται, τόσο στους μισθωτούς όσο και στους αυτοαπασχολούμενους. </w:t>
      </w:r>
    </w:p>
    <w:p w:rsidR="000D05B1" w:rsidRPr="00E01754" w:rsidRDefault="000D05B1" w:rsidP="000D05B1">
      <w:pPr>
        <w:jc w:val="both"/>
        <w:rPr>
          <w:szCs w:val="22"/>
        </w:rPr>
      </w:pPr>
    </w:p>
    <w:p w:rsidR="000D05B1" w:rsidRPr="00E01754" w:rsidRDefault="000D05B1" w:rsidP="000D05B1">
      <w:pPr>
        <w:jc w:val="both"/>
        <w:rPr>
          <w:szCs w:val="22"/>
        </w:rPr>
      </w:pPr>
    </w:p>
    <w:p w:rsidR="000D05B1" w:rsidRPr="00E01754" w:rsidRDefault="000D05B1" w:rsidP="000D05B1">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1"/>
        <w:gridCol w:w="1018"/>
        <w:gridCol w:w="1080"/>
        <w:gridCol w:w="1026"/>
      </w:tblGrid>
      <w:tr w:rsidR="00697FE0" w:rsidRPr="006D6955" w:rsidTr="00B161ED">
        <w:trPr>
          <w:jc w:val="center"/>
        </w:trPr>
        <w:tc>
          <w:tcPr>
            <w:tcW w:w="7195" w:type="dxa"/>
            <w:gridSpan w:val="4"/>
            <w:tcBorders>
              <w:top w:val="single" w:sz="4" w:space="0" w:color="auto"/>
              <w:bottom w:val="single" w:sz="4" w:space="0" w:color="auto"/>
            </w:tcBorders>
            <w:vAlign w:val="center"/>
          </w:tcPr>
          <w:p w:rsidR="00697FE0" w:rsidRPr="006D6955" w:rsidRDefault="00697FE0" w:rsidP="00B161ED">
            <w:pPr>
              <w:snapToGrid w:val="0"/>
              <w:jc w:val="center"/>
              <w:rPr>
                <w:rFonts w:ascii="Arial Narrow" w:hAnsi="Arial Narrow"/>
                <w:b/>
                <w:bCs/>
              </w:rPr>
            </w:pPr>
            <w:r>
              <w:rPr>
                <w:rFonts w:ascii="Arial Narrow" w:hAnsi="Arial Narrow"/>
                <w:b/>
                <w:bCs/>
              </w:rPr>
              <w:t>Πίνακας 1.2</w:t>
            </w:r>
            <w:r w:rsidRPr="006D6955">
              <w:rPr>
                <w:rFonts w:ascii="Arial Narrow" w:hAnsi="Arial Narrow"/>
                <w:b/>
                <w:bCs/>
              </w:rPr>
              <w:t xml:space="preserve"> Βασικά μεγέθη της Ελληνικής Οικονομίας</w:t>
            </w:r>
          </w:p>
          <w:p w:rsidR="00697FE0" w:rsidRPr="006D6955" w:rsidRDefault="00697FE0" w:rsidP="00B161ED">
            <w:pPr>
              <w:snapToGrid w:val="0"/>
              <w:jc w:val="center"/>
              <w:rPr>
                <w:b/>
              </w:rPr>
            </w:pPr>
            <w:r w:rsidRPr="006D6955">
              <w:rPr>
                <w:rFonts w:ascii="Arial Narrow" w:hAnsi="Arial Narrow"/>
                <w:b/>
                <w:bCs/>
              </w:rPr>
              <w:t>(% ετήσιες μεταβολές, σταθερές τιμές)</w:t>
            </w:r>
          </w:p>
        </w:tc>
      </w:tr>
      <w:tr w:rsidR="00697FE0" w:rsidRPr="006D6955" w:rsidTr="00B161ED">
        <w:trPr>
          <w:jc w:val="center"/>
        </w:trPr>
        <w:tc>
          <w:tcPr>
            <w:tcW w:w="4071" w:type="dxa"/>
            <w:tcBorders>
              <w:top w:val="nil"/>
              <w:bottom w:val="single" w:sz="4" w:space="0" w:color="auto"/>
              <w:right w:val="single" w:sz="4" w:space="0" w:color="auto"/>
            </w:tcBorders>
            <w:vAlign w:val="center"/>
          </w:tcPr>
          <w:p w:rsidR="00697FE0" w:rsidRPr="00E545C6" w:rsidRDefault="00697FE0" w:rsidP="00B161ED">
            <w:pPr>
              <w:jc w:val="center"/>
              <w:rPr>
                <w:rFonts w:ascii="Arial Narrow" w:hAnsi="Arial Narrow"/>
                <w:b/>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697FE0" w:rsidRPr="00E545C6" w:rsidRDefault="00697FE0" w:rsidP="00B161ED">
            <w:pPr>
              <w:jc w:val="center"/>
              <w:rPr>
                <w:rFonts w:ascii="Arial Narrow" w:hAnsi="Arial Narrow"/>
                <w:b/>
                <w:sz w:val="16"/>
                <w:szCs w:val="16"/>
              </w:rPr>
            </w:pPr>
            <w:r>
              <w:rPr>
                <w:rFonts w:ascii="Arial Narrow" w:hAnsi="Arial Narrow"/>
                <w:b/>
                <w:sz w:val="16"/>
                <w:szCs w:val="16"/>
              </w:rPr>
              <w:t>2019</w:t>
            </w:r>
          </w:p>
        </w:tc>
        <w:tc>
          <w:tcPr>
            <w:tcW w:w="1080" w:type="dxa"/>
            <w:tcBorders>
              <w:top w:val="nil"/>
              <w:left w:val="single" w:sz="4" w:space="0" w:color="auto"/>
              <w:bottom w:val="single" w:sz="4" w:space="0" w:color="auto"/>
              <w:right w:val="single" w:sz="4" w:space="0" w:color="auto"/>
            </w:tcBorders>
            <w:vAlign w:val="center"/>
          </w:tcPr>
          <w:p w:rsidR="00697FE0" w:rsidRPr="00E545C6" w:rsidRDefault="00697FE0" w:rsidP="00B161ED">
            <w:pPr>
              <w:jc w:val="center"/>
              <w:rPr>
                <w:rFonts w:ascii="Arial Narrow" w:hAnsi="Arial Narrow"/>
                <w:b/>
                <w:sz w:val="16"/>
                <w:szCs w:val="16"/>
              </w:rPr>
            </w:pPr>
            <w:r>
              <w:rPr>
                <w:rFonts w:ascii="Arial Narrow" w:hAnsi="Arial Narrow"/>
                <w:b/>
                <w:sz w:val="16"/>
                <w:szCs w:val="16"/>
              </w:rPr>
              <w:t>2020</w:t>
            </w:r>
            <w:r w:rsidRPr="00E545C6">
              <w:rPr>
                <w:rFonts w:ascii="Arial Narrow" w:hAnsi="Arial Narrow"/>
                <w:b/>
                <w:sz w:val="16"/>
                <w:szCs w:val="16"/>
              </w:rPr>
              <w:t>**</w:t>
            </w:r>
          </w:p>
        </w:tc>
        <w:tc>
          <w:tcPr>
            <w:tcW w:w="1026" w:type="dxa"/>
            <w:tcBorders>
              <w:left w:val="single" w:sz="4" w:space="0" w:color="auto"/>
              <w:bottom w:val="single" w:sz="4" w:space="0" w:color="auto"/>
            </w:tcBorders>
          </w:tcPr>
          <w:p w:rsidR="00697FE0" w:rsidRPr="00E545C6" w:rsidRDefault="00697FE0" w:rsidP="00B161ED">
            <w:pPr>
              <w:jc w:val="center"/>
              <w:rPr>
                <w:rFonts w:ascii="Arial Narrow" w:hAnsi="Arial Narrow"/>
                <w:b/>
                <w:sz w:val="16"/>
                <w:szCs w:val="16"/>
              </w:rPr>
            </w:pPr>
            <w:r>
              <w:rPr>
                <w:rFonts w:ascii="Arial Narrow" w:hAnsi="Arial Narrow"/>
                <w:b/>
                <w:sz w:val="16"/>
                <w:szCs w:val="16"/>
              </w:rPr>
              <w:t>2021</w:t>
            </w:r>
            <w:r w:rsidRPr="00E545C6">
              <w:rPr>
                <w:rFonts w:ascii="Arial Narrow" w:hAnsi="Arial Narrow"/>
                <w:b/>
                <w:sz w:val="16"/>
                <w:szCs w:val="16"/>
              </w:rPr>
              <w:t>**</w:t>
            </w:r>
          </w:p>
        </w:tc>
      </w:tr>
      <w:tr w:rsidR="00697FE0" w:rsidRPr="006D6955" w:rsidTr="00B161ED">
        <w:trPr>
          <w:jc w:val="center"/>
        </w:trPr>
        <w:tc>
          <w:tcPr>
            <w:tcW w:w="4071" w:type="dxa"/>
            <w:tcBorders>
              <w:top w:val="single" w:sz="4" w:space="0" w:color="auto"/>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ΑΕΠ</w:t>
            </w:r>
          </w:p>
        </w:tc>
        <w:tc>
          <w:tcPr>
            <w:tcW w:w="1018" w:type="dxa"/>
            <w:tcBorders>
              <w:top w:val="single" w:sz="4" w:space="0" w:color="auto"/>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sidRPr="00E545C6">
              <w:rPr>
                <w:rFonts w:ascii="Arial Narrow" w:hAnsi="Arial Narrow"/>
                <w:sz w:val="16"/>
                <w:szCs w:val="16"/>
              </w:rPr>
              <w:t>1,9</w:t>
            </w:r>
          </w:p>
        </w:tc>
        <w:tc>
          <w:tcPr>
            <w:tcW w:w="1080" w:type="dxa"/>
            <w:tcBorders>
              <w:top w:val="single" w:sz="4" w:space="0" w:color="auto"/>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-8,2</w:t>
            </w:r>
          </w:p>
        </w:tc>
        <w:tc>
          <w:tcPr>
            <w:tcW w:w="1026" w:type="dxa"/>
            <w:tcBorders>
              <w:top w:val="single" w:sz="4" w:space="0" w:color="auto"/>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7,5</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Ιδιωτική κατανάλωση</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0,8</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-6,0</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5,8</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Δημόσια κατανάλωση</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2,1</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sidRPr="00E545C6">
              <w:rPr>
                <w:rFonts w:ascii="Arial Narrow" w:hAnsi="Arial Narrow"/>
                <w:sz w:val="16"/>
                <w:szCs w:val="16"/>
              </w:rPr>
              <w:t>1,</w:t>
            </w:r>
            <w:r>
              <w:rPr>
                <w:rFonts w:ascii="Arial Narrow" w:hAnsi="Arial Narrow"/>
                <w:sz w:val="16"/>
                <w:szCs w:val="16"/>
              </w:rPr>
              <w:t>7</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-1,8</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Ακαθάριστος σχηματισμός παγίου κεφαλαίου</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4,7</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-10,9</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30,4</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Εξαγωγές αγαθών και υπηρεσιών</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4,8</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-24,8</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22,2</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Εισαγωγές αγαθών και υπηρεσιών</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2,5</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-15,1</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18,0</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proofErr w:type="spellStart"/>
            <w:r w:rsidRPr="00E545C6">
              <w:rPr>
                <w:rFonts w:ascii="Arial Narrow" w:hAnsi="Arial Narrow"/>
                <w:sz w:val="16"/>
                <w:szCs w:val="16"/>
              </w:rPr>
              <w:t>Αποπληθωριστής</w:t>
            </w:r>
            <w:proofErr w:type="spellEnd"/>
            <w:r w:rsidRPr="00E545C6">
              <w:rPr>
                <w:rFonts w:ascii="Arial Narrow" w:hAnsi="Arial Narrow"/>
                <w:sz w:val="16"/>
                <w:szCs w:val="16"/>
              </w:rPr>
              <w:t xml:space="preserve"> ΑΕΠ</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-0,4</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-0,8</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sidRPr="00E545C6">
              <w:rPr>
                <w:rFonts w:ascii="Arial Narrow" w:hAnsi="Arial Narrow"/>
                <w:sz w:val="16"/>
                <w:szCs w:val="16"/>
              </w:rPr>
              <w:t>1,0</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Εναρμονισμένος Δείκτης Τιμών Καταναλωτή</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sidRPr="00E545C6">
              <w:rPr>
                <w:rFonts w:ascii="Arial Narrow" w:hAnsi="Arial Narrow"/>
                <w:sz w:val="16"/>
                <w:szCs w:val="16"/>
              </w:rPr>
              <w:t>0,</w:t>
            </w:r>
            <w:r>
              <w:rPr>
                <w:rFonts w:ascii="Arial Narrow" w:hAnsi="Arial Narrow"/>
                <w:sz w:val="16"/>
                <w:szCs w:val="16"/>
              </w:rPr>
              <w:t>5</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w:t>
            </w:r>
            <w:r w:rsidRPr="00E545C6">
              <w:rPr>
                <w:rFonts w:ascii="Arial Narrow" w:hAnsi="Arial Narrow"/>
                <w:sz w:val="16"/>
                <w:szCs w:val="16"/>
              </w:rPr>
              <w:t>0,6</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sidRPr="00E545C6">
              <w:rPr>
                <w:rFonts w:ascii="Arial Narrow" w:hAnsi="Arial Narrow"/>
                <w:sz w:val="16"/>
                <w:szCs w:val="16"/>
              </w:rPr>
              <w:t>0,</w:t>
            </w:r>
            <w:r>
              <w:rPr>
                <w:rFonts w:ascii="Arial Narrow" w:hAnsi="Arial Narrow"/>
                <w:sz w:val="16"/>
                <w:szCs w:val="16"/>
              </w:rPr>
              <w:t>6</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Απασχόληση*</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2,0</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-4,7</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5,2</w:t>
            </w:r>
          </w:p>
        </w:tc>
      </w:tr>
      <w:tr w:rsidR="00697FE0" w:rsidRPr="006D6955" w:rsidTr="00B161ED">
        <w:trPr>
          <w:jc w:val="center"/>
        </w:trPr>
        <w:tc>
          <w:tcPr>
            <w:tcW w:w="4071" w:type="dxa"/>
            <w:tcBorders>
              <w:top w:val="nil"/>
              <w:bottom w:val="nil"/>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Ποσοστό ανεργίας*</w:t>
            </w:r>
          </w:p>
        </w:tc>
        <w:tc>
          <w:tcPr>
            <w:tcW w:w="1018" w:type="dxa"/>
            <w:tcBorders>
              <w:top w:val="nil"/>
              <w:left w:val="nil"/>
              <w:bottom w:val="nil"/>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15,9</w:t>
            </w:r>
          </w:p>
        </w:tc>
        <w:tc>
          <w:tcPr>
            <w:tcW w:w="1080" w:type="dxa"/>
            <w:tcBorders>
              <w:top w:val="nil"/>
              <w:left w:val="nil"/>
              <w:bottom w:val="nil"/>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17,3</w:t>
            </w:r>
          </w:p>
        </w:tc>
        <w:tc>
          <w:tcPr>
            <w:tcW w:w="1026" w:type="dxa"/>
            <w:tcBorders>
              <w:top w:val="nil"/>
              <w:left w:val="nil"/>
              <w:bottom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15,4</w:t>
            </w:r>
          </w:p>
        </w:tc>
      </w:tr>
      <w:tr w:rsidR="00697FE0" w:rsidRPr="006D6955" w:rsidTr="00B161ED">
        <w:trPr>
          <w:jc w:val="center"/>
        </w:trPr>
        <w:tc>
          <w:tcPr>
            <w:tcW w:w="4071" w:type="dxa"/>
            <w:tcBorders>
              <w:top w:val="nil"/>
              <w:bottom w:val="single" w:sz="4" w:space="0" w:color="auto"/>
              <w:right w:val="nil"/>
            </w:tcBorders>
          </w:tcPr>
          <w:p w:rsidR="00697FE0" w:rsidRPr="00E545C6" w:rsidRDefault="00697FE0" w:rsidP="00B161ED">
            <w:pPr>
              <w:jc w:val="both"/>
              <w:rPr>
                <w:rFonts w:ascii="Arial Narrow" w:hAnsi="Arial Narrow"/>
                <w:sz w:val="16"/>
                <w:szCs w:val="16"/>
              </w:rPr>
            </w:pPr>
            <w:r w:rsidRPr="00E545C6">
              <w:rPr>
                <w:rFonts w:ascii="Arial Narrow" w:hAnsi="Arial Narrow"/>
                <w:sz w:val="16"/>
                <w:szCs w:val="16"/>
              </w:rPr>
              <w:t>Ποσοστό ανεργίας (Έρευνα Εργατικού Δυναμικού)</w:t>
            </w:r>
          </w:p>
        </w:tc>
        <w:tc>
          <w:tcPr>
            <w:tcW w:w="1018" w:type="dxa"/>
            <w:tcBorders>
              <w:top w:val="nil"/>
              <w:left w:val="nil"/>
              <w:bottom w:val="single" w:sz="4" w:space="0" w:color="auto"/>
              <w:right w:val="nil"/>
            </w:tcBorders>
            <w:vAlign w:val="bottom"/>
          </w:tcPr>
          <w:p w:rsidR="00697FE0" w:rsidRPr="00E545C6" w:rsidRDefault="00697FE0" w:rsidP="00B161ED">
            <w:pPr>
              <w:tabs>
                <w:tab w:val="decimal" w:pos="413"/>
              </w:tabs>
              <w:jc w:val="both"/>
              <w:rPr>
                <w:rFonts w:ascii="Arial Narrow" w:hAnsi="Arial Narrow"/>
                <w:sz w:val="16"/>
                <w:szCs w:val="16"/>
              </w:rPr>
            </w:pPr>
            <w:r>
              <w:rPr>
                <w:rFonts w:ascii="Arial Narrow" w:hAnsi="Arial Narrow"/>
                <w:sz w:val="16"/>
                <w:szCs w:val="16"/>
              </w:rPr>
              <w:t>17,3</w:t>
            </w:r>
          </w:p>
        </w:tc>
        <w:tc>
          <w:tcPr>
            <w:tcW w:w="1080" w:type="dxa"/>
            <w:tcBorders>
              <w:top w:val="nil"/>
              <w:left w:val="nil"/>
              <w:bottom w:val="single" w:sz="4" w:space="0" w:color="auto"/>
              <w:right w:val="nil"/>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18,6</w:t>
            </w:r>
          </w:p>
        </w:tc>
        <w:tc>
          <w:tcPr>
            <w:tcW w:w="1026" w:type="dxa"/>
            <w:tcBorders>
              <w:top w:val="nil"/>
              <w:left w:val="nil"/>
              <w:bottom w:val="single" w:sz="4" w:space="0" w:color="auto"/>
            </w:tcBorders>
            <w:vAlign w:val="bottom"/>
          </w:tcPr>
          <w:p w:rsidR="00697FE0" w:rsidRPr="00E545C6" w:rsidRDefault="00697FE0" w:rsidP="00B161ED">
            <w:pPr>
              <w:tabs>
                <w:tab w:val="decimal" w:pos="381"/>
              </w:tabs>
              <w:jc w:val="both"/>
              <w:rPr>
                <w:rFonts w:ascii="Arial Narrow" w:hAnsi="Arial Narrow"/>
                <w:sz w:val="16"/>
                <w:szCs w:val="16"/>
              </w:rPr>
            </w:pPr>
            <w:r>
              <w:rPr>
                <w:rFonts w:ascii="Arial Narrow" w:hAnsi="Arial Narrow"/>
                <w:sz w:val="16"/>
                <w:szCs w:val="16"/>
              </w:rPr>
              <w:t>16,5</w:t>
            </w:r>
          </w:p>
        </w:tc>
      </w:tr>
    </w:tbl>
    <w:p w:rsidR="000D05B1" w:rsidRPr="00E01754" w:rsidRDefault="000D05B1" w:rsidP="000D05B1">
      <w:pPr>
        <w:ind w:firstLine="993"/>
        <w:jc w:val="both"/>
        <w:rPr>
          <w:rFonts w:ascii="Arial Narrow" w:hAnsi="Arial Narrow"/>
          <w:sz w:val="16"/>
          <w:szCs w:val="18"/>
        </w:rPr>
      </w:pPr>
      <w:r w:rsidRPr="00E01754">
        <w:rPr>
          <w:rFonts w:ascii="Arial Narrow" w:hAnsi="Arial Narrow"/>
          <w:sz w:val="16"/>
          <w:szCs w:val="18"/>
        </w:rPr>
        <w:t>Πηγή: Ετήσιοι Εθνικοί Λογαριασμοί (Ελληνική Στατιστική Αρχή), εκτιμήσεις/προβλέψεις Υπουργείου Οικονομικών.</w:t>
      </w:r>
    </w:p>
    <w:p w:rsidR="000D05B1" w:rsidRPr="00E01754" w:rsidRDefault="000D05B1" w:rsidP="000D05B1">
      <w:pPr>
        <w:ind w:firstLine="993"/>
        <w:jc w:val="both"/>
        <w:rPr>
          <w:rFonts w:ascii="Arial Narrow" w:hAnsi="Arial Narrow"/>
          <w:sz w:val="16"/>
          <w:szCs w:val="18"/>
        </w:rPr>
      </w:pPr>
      <w:r w:rsidRPr="00E01754">
        <w:rPr>
          <w:rFonts w:ascii="Arial Narrow" w:hAnsi="Arial Narrow"/>
          <w:sz w:val="16"/>
          <w:szCs w:val="18"/>
        </w:rPr>
        <w:t>*</w:t>
      </w:r>
      <w:r w:rsidR="00697FE0">
        <w:rPr>
          <w:rFonts w:ascii="Arial Narrow" w:hAnsi="Arial Narrow"/>
          <w:sz w:val="16"/>
          <w:szCs w:val="18"/>
        </w:rPr>
        <w:t xml:space="preserve">  </w:t>
      </w:r>
      <w:r w:rsidRPr="00E01754">
        <w:rPr>
          <w:rFonts w:ascii="Arial Narrow" w:hAnsi="Arial Narrow"/>
          <w:sz w:val="16"/>
          <w:szCs w:val="18"/>
        </w:rPr>
        <w:t xml:space="preserve">Σε </w:t>
      </w:r>
      <w:proofErr w:type="spellStart"/>
      <w:r w:rsidRPr="00E01754">
        <w:rPr>
          <w:rFonts w:ascii="Arial Narrow" w:hAnsi="Arial Narrow"/>
          <w:sz w:val="16"/>
          <w:szCs w:val="18"/>
        </w:rPr>
        <w:t>εθνικολογιστική</w:t>
      </w:r>
      <w:proofErr w:type="spellEnd"/>
      <w:r w:rsidRPr="00E01754">
        <w:rPr>
          <w:rFonts w:ascii="Arial Narrow" w:hAnsi="Arial Narrow"/>
          <w:sz w:val="16"/>
          <w:szCs w:val="18"/>
        </w:rPr>
        <w:t xml:space="preserve"> βάση</w:t>
      </w:r>
    </w:p>
    <w:p w:rsidR="000D05B1" w:rsidRPr="00E01754" w:rsidRDefault="000D05B1" w:rsidP="000D05B1">
      <w:pPr>
        <w:ind w:firstLine="993"/>
        <w:jc w:val="both"/>
        <w:rPr>
          <w:rFonts w:ascii="Arial Narrow" w:hAnsi="Arial Narrow"/>
          <w:sz w:val="16"/>
          <w:szCs w:val="18"/>
        </w:rPr>
      </w:pPr>
      <w:r w:rsidRPr="00E01754">
        <w:rPr>
          <w:rFonts w:ascii="Arial Narrow" w:hAnsi="Arial Narrow"/>
          <w:sz w:val="16"/>
          <w:szCs w:val="18"/>
        </w:rPr>
        <w:t>** Εκτιμήσεις/προβλέψεις</w:t>
      </w:r>
    </w:p>
    <w:p w:rsidR="000D05B1" w:rsidRPr="00E01754" w:rsidRDefault="000D05B1" w:rsidP="000D05B1">
      <w:pPr>
        <w:rPr>
          <w:rFonts w:ascii="Arial Narrow" w:hAnsi="Arial Narrow"/>
          <w:sz w:val="16"/>
          <w:szCs w:val="18"/>
        </w:rPr>
      </w:pPr>
    </w:p>
    <w:p w:rsidR="000D05B1" w:rsidRPr="00E01754" w:rsidRDefault="000D05B1" w:rsidP="000D05B1">
      <w:pPr>
        <w:rPr>
          <w:rFonts w:ascii="Arial Narrow" w:hAnsi="Arial Narrow"/>
          <w:sz w:val="16"/>
          <w:szCs w:val="18"/>
        </w:rPr>
      </w:pPr>
    </w:p>
    <w:p w:rsidR="004213BC" w:rsidRDefault="00B719C9">
      <w:pPr>
        <w:jc w:val="both"/>
      </w:pPr>
      <w:r>
        <w:t xml:space="preserve">Πρέπει να τονιστεί ότι η αβεβαιότητα στις προβλέψεις τόσο των μακροοικονομικών εξελίξεων, όσο και κατά συνέπεια των δημοσιονομικών αποτελεσμάτων είναι </w:t>
      </w:r>
      <w:r w:rsidR="00672E27">
        <w:t>εξαιρετικά υψηλή. Μία περαιτέ</w:t>
      </w:r>
      <w:r>
        <w:t>ρω επιδείνωση των επιδημιολογικών δεδομένων σε σχέση με αυτά που συμπεριλαμβάνονται στο βασικό μακροοικονομικό σενάριο θα μπορούσε να οδηγήσει σε σημαντικά δυσμενέστερο μακροοικονομικό και δημοσιονομικό αποτέλεσμα. Με βάση την πρόσφατη ε</w:t>
      </w:r>
      <w:r w:rsidR="00672E27">
        <w:t>μπειρία των μηνών Μαρτίου-</w:t>
      </w:r>
      <w:r w:rsidR="00833ECC">
        <w:rPr>
          <w:szCs w:val="22"/>
        </w:rPr>
        <w:t>Σεπτεμβρίου</w:t>
      </w:r>
      <w:r w:rsidR="00833ECC">
        <w:t xml:space="preserve"> </w:t>
      </w:r>
      <w:r>
        <w:t xml:space="preserve">2020, </w:t>
      </w:r>
      <w:r w:rsidR="0074527A">
        <w:t>μία παράταση του επιδημιολογικού φαινομένου μέτριας έντασης (όπως παρατηρείται κατά τους τρέχοντες μήνες), κατά το δεύτερο τρίμηνο του 2021</w:t>
      </w:r>
      <w:r w:rsidR="00093D9F">
        <w:t>, με δυσμενέστερες επιπτώσεις στο τουρισμό κατά τους καλοκαιρινούς μήνες</w:t>
      </w:r>
      <w:r>
        <w:t>, θα οδηγ</w:t>
      </w:r>
      <w:r w:rsidR="00D666D7">
        <w:t>ήσει</w:t>
      </w:r>
      <w:r w:rsidR="0074527A">
        <w:t xml:space="preserve"> </w:t>
      </w:r>
      <w:r>
        <w:t xml:space="preserve">σε μείωση του ρυθμού ανάπτυξης κατά τρεις ποσοστιαίες μονάδες (από το 7,5% στο 4,5%) και </w:t>
      </w:r>
      <w:r w:rsidR="00901E0C">
        <w:t xml:space="preserve">επιδείνωση </w:t>
      </w:r>
      <w:r>
        <w:t>του πρωτογενούς αποτελέσματος, λαμβάνοντας υπόψη αντίστοιχες δημοσιονομικές παρεμβάσεις που εφαρμόστηκαν το προηγούμενο διάστημα, κατά δύο ποσοστιαίες μονάδες (από το -1% όπως προβλέπεται κατωτέρω</w:t>
      </w:r>
      <w:r w:rsidR="0074527A">
        <w:t>),</w:t>
      </w:r>
      <w:r>
        <w:t xml:space="preserve"> στο -3%. </w:t>
      </w:r>
      <w:r w:rsidR="00D666D7">
        <w:t xml:space="preserve">Επίσης σοβαρή επιδείνωση των </w:t>
      </w:r>
      <w:r w:rsidR="00093D9F">
        <w:t>επιδημιολογικών</w:t>
      </w:r>
      <w:r w:rsidR="00D666D7">
        <w:t xml:space="preserve"> δεδομένων </w:t>
      </w:r>
      <w:r w:rsidR="00093D9F">
        <w:t xml:space="preserve">τους εναπομένοντες μήνες του 2020 θα προκαλέσει επιδείνωση του μακροοικονομικού και δημοσιονομικού αποτελέσματος </w:t>
      </w:r>
      <w:r w:rsidR="00D666D7">
        <w:t>για το 2020 και (λιγότερο) το 2021.</w:t>
      </w:r>
    </w:p>
    <w:p w:rsidR="008F24A5" w:rsidRDefault="008F24A5">
      <w:pPr>
        <w:jc w:val="both"/>
      </w:pPr>
    </w:p>
    <w:p w:rsidR="008F24A5" w:rsidRDefault="008F24A5">
      <w:pPr>
        <w:jc w:val="both"/>
      </w:pPr>
    </w:p>
    <w:p w:rsidR="008F24A5" w:rsidRDefault="008F24A5">
      <w:pPr>
        <w:jc w:val="both"/>
      </w:pPr>
    </w:p>
    <w:p w:rsidR="008F24A5" w:rsidRDefault="008F24A5">
      <w:pPr>
        <w:jc w:val="both"/>
      </w:pPr>
    </w:p>
    <w:p w:rsidR="00672E27" w:rsidRDefault="00672E27">
      <w:pPr>
        <w:jc w:val="both"/>
      </w:pPr>
    </w:p>
    <w:p w:rsidR="00672E27" w:rsidRPr="00E643AA" w:rsidRDefault="00672E27">
      <w:pPr>
        <w:jc w:val="both"/>
        <w:rPr>
          <w:strike/>
          <w:szCs w:val="22"/>
        </w:rPr>
        <w:sectPr w:rsidR="00672E27" w:rsidRPr="00E643AA" w:rsidSect="007D29EA">
          <w:headerReference w:type="even" r:id="rId13"/>
          <w:headerReference w:type="default" r:id="rId14"/>
          <w:footerReference w:type="even" r:id="rId15"/>
          <w:footerReference w:type="default" r:id="rId16"/>
          <w:type w:val="oddPage"/>
          <w:pgSz w:w="11906" w:h="16838" w:code="9"/>
          <w:pgMar w:top="1418" w:right="1418" w:bottom="1418" w:left="1418" w:header="709" w:footer="709" w:gutter="0"/>
          <w:pgNumType w:start="7"/>
          <w:cols w:space="708"/>
          <w:docGrid w:linePitch="360"/>
        </w:sectPr>
      </w:pPr>
    </w:p>
    <w:p w:rsidR="003377C3" w:rsidRPr="000F39EA" w:rsidRDefault="003377C3" w:rsidP="003377C3">
      <w:pPr>
        <w:spacing w:line="228" w:lineRule="auto"/>
        <w:contextualSpacing/>
        <w:jc w:val="both"/>
        <w:rPr>
          <w:rFonts w:ascii="Arial Narrow" w:hAnsi="Arial Narrow"/>
          <w:b/>
          <w:color w:val="000080"/>
          <w:sz w:val="40"/>
          <w:szCs w:val="22"/>
        </w:rPr>
      </w:pPr>
      <w:r w:rsidRPr="000F39EA">
        <w:rPr>
          <w:rFonts w:ascii="Arial Narrow" w:hAnsi="Arial Narrow"/>
          <w:b/>
          <w:color w:val="000080"/>
          <w:sz w:val="40"/>
          <w:szCs w:val="22"/>
        </w:rPr>
        <w:lastRenderedPageBreak/>
        <w:t>ΠΡΟΫΠΟΛΟΓΙΣΜΟΣ ΓΕΝΙΚΗΣ ΚΥΒΕΡΝΗΣΗΣ</w:t>
      </w:r>
    </w:p>
    <w:p w:rsidR="003377C3" w:rsidRPr="000F39EA" w:rsidRDefault="003377C3" w:rsidP="003377C3">
      <w:pPr>
        <w:spacing w:line="228" w:lineRule="auto"/>
        <w:contextualSpacing/>
        <w:jc w:val="both"/>
      </w:pPr>
    </w:p>
    <w:p w:rsidR="00E30C8C" w:rsidRPr="000F39EA" w:rsidRDefault="00E30C8C" w:rsidP="003377C3">
      <w:pPr>
        <w:spacing w:line="228" w:lineRule="auto"/>
        <w:contextualSpacing/>
        <w:jc w:val="both"/>
      </w:pPr>
    </w:p>
    <w:p w:rsidR="00E30C8C" w:rsidRPr="000F39EA" w:rsidRDefault="00E30C8C" w:rsidP="003377C3">
      <w:pPr>
        <w:spacing w:line="228" w:lineRule="auto"/>
        <w:contextualSpacing/>
        <w:jc w:val="both"/>
      </w:pPr>
    </w:p>
    <w:p w:rsidR="00E30C8C" w:rsidRPr="000F39EA" w:rsidRDefault="000F39EA" w:rsidP="00E30C8C">
      <w:pPr>
        <w:shd w:val="clear" w:color="auto" w:fill="BFBFBF"/>
        <w:spacing w:line="228" w:lineRule="auto"/>
        <w:contextualSpacing/>
        <w:jc w:val="both"/>
        <w:rPr>
          <w:rFonts w:ascii="Arial Narrow" w:hAnsi="Arial Narrow"/>
          <w:b/>
          <w:sz w:val="26"/>
        </w:rPr>
      </w:pPr>
      <w:r>
        <w:rPr>
          <w:rFonts w:ascii="Arial Narrow" w:hAnsi="Arial Narrow"/>
          <w:b/>
          <w:sz w:val="26"/>
        </w:rPr>
        <w:t>1.</w:t>
      </w:r>
      <w:r>
        <w:rPr>
          <w:rFonts w:ascii="Arial Narrow" w:hAnsi="Arial Narrow"/>
          <w:b/>
          <w:sz w:val="26"/>
        </w:rPr>
        <w:tab/>
        <w:t>Εκτιμήσεις 2020</w:t>
      </w:r>
    </w:p>
    <w:p w:rsidR="00E30C8C" w:rsidRPr="000F39EA" w:rsidRDefault="00E30C8C" w:rsidP="00E30C8C">
      <w:pPr>
        <w:spacing w:line="228" w:lineRule="auto"/>
        <w:contextualSpacing/>
        <w:jc w:val="both"/>
      </w:pPr>
    </w:p>
    <w:p w:rsidR="000F39EA" w:rsidRDefault="000F39EA" w:rsidP="000F39EA">
      <w:pPr>
        <w:contextualSpacing/>
        <w:jc w:val="both"/>
      </w:pPr>
    </w:p>
    <w:p w:rsidR="000F39EA" w:rsidRPr="005352B5" w:rsidRDefault="000F39EA" w:rsidP="000F39EA">
      <w:pPr>
        <w:contextualSpacing/>
        <w:jc w:val="both"/>
      </w:pPr>
      <w:r w:rsidRPr="005352B5">
        <w:t>Το έτος 201</w:t>
      </w:r>
      <w:r w:rsidRPr="00497858">
        <w:t>9</w:t>
      </w:r>
      <w:r w:rsidRPr="005352B5">
        <w:t xml:space="preserve">, το πρωτογενές αποτέλεσμα της Γενικής Κυβέρνησης σύμφωνα με τη μεθοδολογία του Ευρωπαϊκού Συστήματος Λογαριασμών (ESA) διαμορφώθηκε σε πλεόνασμα ύψους </w:t>
      </w:r>
      <w:r w:rsidR="008F24A5">
        <w:t>8.25</w:t>
      </w:r>
      <w:r w:rsidRPr="002A04F3">
        <w:t>1</w:t>
      </w:r>
      <w:r w:rsidRPr="005352B5">
        <w:t xml:space="preserve"> εκατ. ευρώ (</w:t>
      </w:r>
      <w:r w:rsidRPr="002A04F3">
        <w:t>4,4</w:t>
      </w:r>
      <w:r w:rsidRPr="005352B5">
        <w:t xml:space="preserve">% του ΑΕΠ), ενώ το πρωτογενές αποτέλεσμα της Γενικής Κυβέρνησης σε όρους Ενισχυμένης Εποπτείας, διαμορφώθηκε σε πλεόνασμα ύψους </w:t>
      </w:r>
      <w:r w:rsidR="008F24A5">
        <w:t>6.557</w:t>
      </w:r>
      <w:r w:rsidRPr="005352B5">
        <w:t xml:space="preserve"> εκατ. ευρώ ή </w:t>
      </w:r>
      <w:r w:rsidRPr="002A04F3">
        <w:t>3,5</w:t>
      </w:r>
      <w:r w:rsidRPr="005352B5">
        <w:t xml:space="preserve">% του ΑΕΠ </w:t>
      </w:r>
      <w:r w:rsidR="007C7080">
        <w:t xml:space="preserve">επιτυγχάνοντας </w:t>
      </w:r>
      <w:r w:rsidR="001A7858">
        <w:t xml:space="preserve">με ακρίβεια </w:t>
      </w:r>
      <w:r w:rsidR="007C7080">
        <w:t>τον στόχο (</w:t>
      </w:r>
      <w:r w:rsidRPr="005352B5">
        <w:t>3,5% του ΑΕΠ</w:t>
      </w:r>
      <w:r w:rsidR="007C7080">
        <w:t>)</w:t>
      </w:r>
      <w:r w:rsidRPr="005352B5">
        <w:t>.</w:t>
      </w:r>
    </w:p>
    <w:p w:rsidR="000F39EA" w:rsidRPr="0037347B" w:rsidRDefault="000F39EA" w:rsidP="000F39EA">
      <w:pPr>
        <w:contextualSpacing/>
        <w:jc w:val="both"/>
      </w:pPr>
    </w:p>
    <w:p w:rsidR="000F39EA" w:rsidRPr="0037347B" w:rsidRDefault="000F39EA" w:rsidP="000F39EA">
      <w:pPr>
        <w:contextualSpacing/>
        <w:jc w:val="both"/>
      </w:pPr>
      <w:r w:rsidRPr="0037347B">
        <w:t>Στο Σχέδιο Προϋπολογισμού έτους 20</w:t>
      </w:r>
      <w:r w:rsidRPr="00497858">
        <w:t>20</w:t>
      </w:r>
      <w:r w:rsidRPr="0037347B">
        <w:t xml:space="preserve">, το πρωτογενές αποτέλεσμα της Γενικής Κυβέρνησης σε όρους Ενισχυμένης Εποπτείας, είχε εκτιμηθεί ότι θα διαμορφωθεί σε πλεόνασμα ύψους </w:t>
      </w:r>
      <w:r w:rsidRPr="00497858">
        <w:t>7.070</w:t>
      </w:r>
      <w:r w:rsidRPr="0037347B">
        <w:t xml:space="preserve"> εκατ. ευρώ ή 3,</w:t>
      </w:r>
      <w:r w:rsidRPr="00497858">
        <w:t>58</w:t>
      </w:r>
      <w:r w:rsidRPr="0037347B">
        <w:t>% του ΑΕΠ, ενώ με βάση τη μεθοδολογία ESA είχε εκτιμηθεί πλεόνασμα ύψους 7.4</w:t>
      </w:r>
      <w:r w:rsidRPr="00497858">
        <w:t>88</w:t>
      </w:r>
      <w:r w:rsidRPr="0037347B">
        <w:t xml:space="preserve"> εκατ. ευρώ ή 3,</w:t>
      </w:r>
      <w:r w:rsidRPr="00497858">
        <w:t>8</w:t>
      </w:r>
      <w:r w:rsidRPr="0037347B">
        <w:t xml:space="preserve">% του ΑΕΠ. </w:t>
      </w:r>
    </w:p>
    <w:p w:rsidR="000F39EA" w:rsidRPr="0037347B" w:rsidRDefault="000F39EA" w:rsidP="000F39EA">
      <w:pPr>
        <w:contextualSpacing/>
        <w:jc w:val="both"/>
      </w:pPr>
    </w:p>
    <w:p w:rsidR="000F39EA" w:rsidRPr="005352B5" w:rsidRDefault="000F39EA" w:rsidP="000F39EA">
      <w:pPr>
        <w:contextualSpacing/>
        <w:jc w:val="both"/>
      </w:pPr>
      <w:r w:rsidRPr="005352B5">
        <w:t>Σύμφωνα με τα στοιχεία της εκτέλεσης του Προϋπολογισμού, το πρωτογενές αποτέλεσμα της Γενικής Κυβέρνησης εκτιμάται ότι σε όρους Ενισχυμένης Εποπτείας θα διαμορφωθεί σε</w:t>
      </w:r>
      <w:r w:rsidRPr="002A04F3">
        <w:t xml:space="preserve"> </w:t>
      </w:r>
      <w:r>
        <w:t>έλλειμμα ύψους 10.643</w:t>
      </w:r>
      <w:r w:rsidRPr="005352B5">
        <w:t xml:space="preserve"> εκατ. ευρώ ή </w:t>
      </w:r>
      <w:r>
        <w:t>6,23</w:t>
      </w:r>
      <w:r w:rsidRPr="005352B5">
        <w:t>% του ΑΕΠ</w:t>
      </w:r>
      <w:r>
        <w:t>.</w:t>
      </w:r>
      <w:r w:rsidRPr="005352B5">
        <w:t xml:space="preserve"> Σε όρους ESA εκτιμάται ότι θα διαμορφωθεί σε </w:t>
      </w:r>
      <w:r>
        <w:t>έλλειμμα ύψους 9.723</w:t>
      </w:r>
      <w:r w:rsidRPr="005352B5">
        <w:t xml:space="preserve"> εκατ. ευρώ ή </w:t>
      </w:r>
      <w:r>
        <w:t>5,7</w:t>
      </w:r>
      <w:r w:rsidRPr="005352B5">
        <w:t xml:space="preserve">% του ΑΕΠ. </w:t>
      </w:r>
      <w:r w:rsidR="00250FB0">
        <w:t>Σημειώνεται ότι π</w:t>
      </w:r>
      <w:r w:rsidR="001A7858">
        <w:t xml:space="preserve">αρά το γεγονός ότι προσεγγίζουμε στο τέλος του έτους </w:t>
      </w:r>
      <w:r w:rsidR="00250FB0">
        <w:t xml:space="preserve">οι </w:t>
      </w:r>
      <w:r w:rsidR="001A7858">
        <w:t xml:space="preserve">εκτιμήσεις αυτές </w:t>
      </w:r>
      <w:r w:rsidR="00250FB0">
        <w:t xml:space="preserve">εξακολουθούν να </w:t>
      </w:r>
      <w:r w:rsidR="001A7858">
        <w:t xml:space="preserve">εμπεριέχουν στοιχείο αβεβαιότητος </w:t>
      </w:r>
      <w:r w:rsidR="008F24A5">
        <w:t>ως συνέπεια της</w:t>
      </w:r>
      <w:r w:rsidR="00250FB0">
        <w:t xml:space="preserve"> αντίστοιχη</w:t>
      </w:r>
      <w:r w:rsidR="008F24A5">
        <w:t>ς</w:t>
      </w:r>
      <w:r w:rsidR="00250FB0">
        <w:t xml:space="preserve"> αβεβαιότητα</w:t>
      </w:r>
      <w:r w:rsidR="008F24A5">
        <w:t>ς</w:t>
      </w:r>
      <w:r w:rsidR="00250FB0">
        <w:t xml:space="preserve"> για την εξέλιξη της πανδημίας.</w:t>
      </w:r>
    </w:p>
    <w:p w:rsidR="000F39EA" w:rsidRPr="0037347B" w:rsidRDefault="000F39EA" w:rsidP="000F39EA">
      <w:pPr>
        <w:contextualSpacing/>
        <w:jc w:val="both"/>
      </w:pPr>
    </w:p>
    <w:p w:rsidR="000F39EA" w:rsidRDefault="000F39EA" w:rsidP="000F39EA">
      <w:pPr>
        <w:contextualSpacing/>
        <w:jc w:val="both"/>
      </w:pPr>
      <w:r w:rsidRPr="0037347B">
        <w:t xml:space="preserve">Η δημοσιονομική </w:t>
      </w:r>
      <w:r>
        <w:t>και οικονομική πολιτική που ασκήθηκε</w:t>
      </w:r>
      <w:r w:rsidRPr="0037347B">
        <w:t xml:space="preserve"> το έτος 20</w:t>
      </w:r>
      <w:r w:rsidRPr="00497858">
        <w:t>20</w:t>
      </w:r>
      <w:r w:rsidRPr="0037347B">
        <w:t xml:space="preserve"> </w:t>
      </w:r>
      <w:r>
        <w:t xml:space="preserve">επηρεάστηκε </w:t>
      </w:r>
      <w:r w:rsidR="001B7A8A">
        <w:t xml:space="preserve">καθοριστικά </w:t>
      </w:r>
      <w:r>
        <w:t xml:space="preserve">από την εμφάνιση της </w:t>
      </w:r>
      <w:r w:rsidRPr="00DF27D1">
        <w:t xml:space="preserve">υγειονομικής κρίσης λόγω του </w:t>
      </w:r>
      <w:proofErr w:type="spellStart"/>
      <w:r w:rsidRPr="00DF27D1">
        <w:t>κορωνοϊού</w:t>
      </w:r>
      <w:proofErr w:type="spellEnd"/>
      <w:r>
        <w:t xml:space="preserve">, η οποία οδήγησε σε πρωτόγνωρες διαφοροποιήσεις σε σχέση με τους αρχικά </w:t>
      </w:r>
      <w:r w:rsidR="007C7080">
        <w:t>τ</w:t>
      </w:r>
      <w:r w:rsidR="001B7A8A">
        <w:t>ε</w:t>
      </w:r>
      <w:r w:rsidR="007C7080">
        <w:t>θέ</w:t>
      </w:r>
      <w:r w:rsidR="001B7A8A">
        <w:t>ντες</w:t>
      </w:r>
      <w:r>
        <w:t xml:space="preserve"> στόχους τόσο στα έσοδα όσο και στις δαπάνες της γενικής κυβέρνησης. Οι διαφοροποιήσεις αυτές είναι αποτέλεσμα τόσο της μείωσης </w:t>
      </w:r>
      <w:r w:rsidRPr="00A4544A">
        <w:t>της οικονομικής δραστηριότητας</w:t>
      </w:r>
      <w:r>
        <w:t>,</w:t>
      </w:r>
      <w:r w:rsidRPr="00A4544A">
        <w:t xml:space="preserve"> όσο </w:t>
      </w:r>
      <w:r>
        <w:t>και της</w:t>
      </w:r>
      <w:r w:rsidRPr="00A4544A">
        <w:t xml:space="preserve"> επίπτωση</w:t>
      </w:r>
      <w:r>
        <w:t>ς</w:t>
      </w:r>
      <w:r w:rsidRPr="00A4544A">
        <w:t xml:space="preserve"> από τη λήψη </w:t>
      </w:r>
      <w:r w:rsidR="007C7080">
        <w:t>δημοσιονομικών μέτρων και μέτρων ενίσχυσης της ρευστότητας της οικονομίας</w:t>
      </w:r>
      <w:r w:rsidRPr="00A4544A">
        <w:t>.</w:t>
      </w:r>
      <w:r w:rsidRPr="00EB5F66">
        <w:t xml:space="preserve"> Τα μέτρα </w:t>
      </w:r>
      <w:r>
        <w:t xml:space="preserve">αυτά, παρουσιάζονται αναλυτικά στην </w:t>
      </w:r>
      <w:r w:rsidRPr="008F24A5">
        <w:t xml:space="preserve">ενότητα </w:t>
      </w:r>
      <w:r w:rsidR="00D4290F" w:rsidRPr="008F24A5">
        <w:t>3</w:t>
      </w:r>
      <w:r>
        <w:t xml:space="preserve"> του παρόντος κεφαλαίου. </w:t>
      </w:r>
    </w:p>
    <w:p w:rsidR="000F39EA" w:rsidRDefault="000F39EA" w:rsidP="000F39EA">
      <w:pPr>
        <w:contextualSpacing/>
        <w:jc w:val="both"/>
      </w:pPr>
    </w:p>
    <w:p w:rsidR="000F39EA" w:rsidRDefault="000F39EA" w:rsidP="000F39EA">
      <w:pPr>
        <w:contextualSpacing/>
        <w:jc w:val="both"/>
      </w:pPr>
      <w:r>
        <w:t xml:space="preserve">Η εμφάνιση </w:t>
      </w:r>
      <w:r w:rsidR="007C7080">
        <w:t xml:space="preserve">αυτής </w:t>
      </w:r>
      <w:r>
        <w:t xml:space="preserve">της πρωτοφανούς υγειονομικής κρίσης είχε ως αποτέλεσμα η Ευρωπαϊκή Επιτροπή να προτείνει </w:t>
      </w:r>
      <w:r w:rsidRPr="00DF433E">
        <w:t>την ενεργοποίηση της γενικής ρήτρας διαφυγής του Συμφώνου Σταθερότητας και Ανάπτυξης</w:t>
      </w:r>
      <w:r>
        <w:t>. Η πρόταση της Ευρωπαϊκής Επιτροπής εγκρίθηκε από το</w:t>
      </w:r>
      <w:r w:rsidRPr="00DF433E">
        <w:t xml:space="preserve"> Συμβούλιο της Ευρωπαϊκής Ένωσης</w:t>
      </w:r>
      <w:r>
        <w:t xml:space="preserve"> και οδήγησε στη χαλάρωση </w:t>
      </w:r>
      <w:r w:rsidRPr="00DF27D1">
        <w:t xml:space="preserve">των ευρωπαϊκών δημοσιονομικών κανόνων για </w:t>
      </w:r>
      <w:r>
        <w:t xml:space="preserve">τα έτη 2020 και 2021. Συνεπώς, η </w:t>
      </w:r>
      <w:r w:rsidR="001B7A8A">
        <w:t xml:space="preserve">υποχρέωση για </w:t>
      </w:r>
      <w:r>
        <w:t xml:space="preserve">επίτευξη </w:t>
      </w:r>
      <w:r w:rsidRPr="00DF27D1">
        <w:t>του στόχου</w:t>
      </w:r>
      <w:r>
        <w:t xml:space="preserve"> για πρωτογενές πλεόνασμα</w:t>
      </w:r>
      <w:r w:rsidR="007C7080">
        <w:t xml:space="preserve">, σύμφωνα με τους όρους της Ενισχυμένης Εποπτείας, </w:t>
      </w:r>
      <w:r>
        <w:t>ύψους 3,5% του ΑΕΠ, δεν θα ισχύσει για τα έτη 2020 και 2021.</w:t>
      </w:r>
    </w:p>
    <w:p w:rsidR="000F39EA" w:rsidRDefault="000F39EA" w:rsidP="000F39EA">
      <w:pPr>
        <w:contextualSpacing/>
        <w:jc w:val="both"/>
      </w:pPr>
    </w:p>
    <w:p w:rsidR="000F39EA" w:rsidRDefault="000F39EA" w:rsidP="000F39EA">
      <w:pPr>
        <w:contextualSpacing/>
        <w:jc w:val="both"/>
      </w:pPr>
      <w:r>
        <w:t>Οι προτεραιότητες του έτους 2020 διαφοροποιήθηκαν σημαντικά</w:t>
      </w:r>
      <w:r w:rsidR="007C7080">
        <w:t>,</w:t>
      </w:r>
      <w:r>
        <w:t xml:space="preserve"> σε σχέση με τις αρχικές επιδιώξεις, λόγω της υγειονομικής κρίσης, η οποία οδήγησε στη λήψη μέτρων </w:t>
      </w:r>
      <w:r w:rsidR="007C7080">
        <w:t>με βασικούς άξονες</w:t>
      </w:r>
      <w:r>
        <w:t>:</w:t>
      </w:r>
    </w:p>
    <w:p w:rsidR="000F39EA" w:rsidRDefault="000F39EA" w:rsidP="000F39EA">
      <w:pPr>
        <w:contextualSpacing/>
        <w:jc w:val="both"/>
      </w:pPr>
    </w:p>
    <w:p w:rsidR="002B014F" w:rsidRDefault="002B014F" w:rsidP="002B014F">
      <w:pPr>
        <w:pStyle w:val="ListParagraph"/>
        <w:numPr>
          <w:ilvl w:val="0"/>
          <w:numId w:val="8"/>
        </w:numPr>
        <w:spacing w:line="240" w:lineRule="auto"/>
        <w:ind w:left="284" w:hanging="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την ενίσχυση του εθνικού συστήματος υγείας με προσωπικό και εξοπλισμό,</w:t>
      </w:r>
    </w:p>
    <w:p w:rsidR="000F39EA" w:rsidRDefault="000F39EA" w:rsidP="00FE7E83">
      <w:pPr>
        <w:pStyle w:val="ListParagraph"/>
        <w:numPr>
          <w:ilvl w:val="0"/>
          <w:numId w:val="8"/>
        </w:numPr>
        <w:spacing w:line="240" w:lineRule="auto"/>
        <w:ind w:left="284" w:hanging="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την ενίσχυση των πληγέντων φυσικών και νομικών προσώπων</w:t>
      </w:r>
      <w:r w:rsidR="00A13CDB">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 μέσω</w:t>
      </w:r>
      <w:r w:rsidRPr="00E97B31">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της παροχής αποζημίωσης ειδικού σκοπού και της αναστολής φορολογικών και ασφαλιστικών </w:t>
      </w:r>
      <w:r w:rsidR="00A13CDB">
        <w:rPr>
          <w:rFonts w:ascii="Times New Roman" w:eastAsia="Times New Roman" w:hAnsi="Times New Roman"/>
          <w:sz w:val="24"/>
          <w:szCs w:val="24"/>
          <w:lang w:eastAsia="el-GR"/>
        </w:rPr>
        <w:t>υποχρεώσεων</w:t>
      </w:r>
      <w:r w:rsidRPr="00E97B31">
        <w:rPr>
          <w:rFonts w:ascii="Times New Roman" w:eastAsia="Times New Roman" w:hAnsi="Times New Roman"/>
          <w:sz w:val="24"/>
          <w:szCs w:val="24"/>
          <w:lang w:eastAsia="el-GR"/>
        </w:rPr>
        <w:t xml:space="preserve">, </w:t>
      </w:r>
    </w:p>
    <w:p w:rsidR="000F39EA" w:rsidRDefault="000F39EA" w:rsidP="00FE7E83">
      <w:pPr>
        <w:pStyle w:val="ListParagraph"/>
        <w:numPr>
          <w:ilvl w:val="0"/>
          <w:numId w:val="8"/>
        </w:numPr>
        <w:spacing w:line="240" w:lineRule="auto"/>
        <w:ind w:left="284" w:hanging="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την παροχή ρευστότητας στις επιχειρήσεις</w:t>
      </w:r>
      <w:r w:rsidR="00F648A5">
        <w:rPr>
          <w:rFonts w:ascii="Times New Roman" w:eastAsia="Times New Roman" w:hAnsi="Times New Roman"/>
          <w:sz w:val="24"/>
          <w:szCs w:val="24"/>
          <w:lang w:eastAsia="el-GR"/>
        </w:rPr>
        <w:t xml:space="preserve"> μέσω της επιστρεπτέας προκαταβολής και των χρηματοδοτικών εργαλείων</w:t>
      </w:r>
      <w:r>
        <w:rPr>
          <w:rFonts w:ascii="Times New Roman" w:eastAsia="Times New Roman" w:hAnsi="Times New Roman"/>
          <w:sz w:val="24"/>
          <w:szCs w:val="24"/>
          <w:lang w:eastAsia="el-GR"/>
        </w:rPr>
        <w:t>,</w:t>
      </w:r>
    </w:p>
    <w:p w:rsidR="000F39EA" w:rsidRDefault="000F39EA" w:rsidP="00FE7E83">
      <w:pPr>
        <w:pStyle w:val="ListParagraph"/>
        <w:numPr>
          <w:ilvl w:val="0"/>
          <w:numId w:val="8"/>
        </w:numPr>
        <w:spacing w:line="240" w:lineRule="auto"/>
        <w:ind w:left="284" w:hanging="284"/>
        <w:jc w:val="both"/>
        <w:rPr>
          <w:rFonts w:ascii="Times New Roman" w:eastAsia="Times New Roman" w:hAnsi="Times New Roman"/>
          <w:sz w:val="24"/>
          <w:szCs w:val="24"/>
          <w:lang w:eastAsia="el-GR"/>
        </w:rPr>
      </w:pPr>
      <w:r w:rsidRPr="008278A7">
        <w:rPr>
          <w:rFonts w:ascii="Times New Roman" w:eastAsia="Times New Roman" w:hAnsi="Times New Roman"/>
          <w:sz w:val="24"/>
          <w:szCs w:val="24"/>
          <w:lang w:eastAsia="el-GR"/>
        </w:rPr>
        <w:t>τη στήριξη της απασχόλησης</w:t>
      </w:r>
      <w:r>
        <w:rPr>
          <w:rFonts w:ascii="Times New Roman" w:eastAsia="Times New Roman" w:hAnsi="Times New Roman"/>
          <w:sz w:val="24"/>
          <w:szCs w:val="24"/>
          <w:lang w:eastAsia="el-GR"/>
        </w:rPr>
        <w:t>,</w:t>
      </w:r>
    </w:p>
    <w:p w:rsidR="000F39EA" w:rsidRPr="008278A7" w:rsidRDefault="000F39EA" w:rsidP="00FE7E83">
      <w:pPr>
        <w:pStyle w:val="ListParagraph"/>
        <w:numPr>
          <w:ilvl w:val="0"/>
          <w:numId w:val="8"/>
        </w:numPr>
        <w:spacing w:line="240" w:lineRule="auto"/>
        <w:ind w:left="284" w:hanging="284"/>
        <w:jc w:val="both"/>
        <w:rPr>
          <w:rFonts w:ascii="Times New Roman" w:eastAsia="Times New Roman" w:hAnsi="Times New Roman"/>
          <w:sz w:val="24"/>
          <w:szCs w:val="24"/>
          <w:lang w:eastAsia="el-GR"/>
        </w:rPr>
      </w:pPr>
      <w:r w:rsidRPr="008278A7">
        <w:rPr>
          <w:rFonts w:ascii="Times New Roman" w:eastAsia="Times New Roman" w:hAnsi="Times New Roman"/>
          <w:sz w:val="24"/>
          <w:szCs w:val="24"/>
          <w:lang w:eastAsia="el-GR"/>
        </w:rPr>
        <w:t>τη</w:t>
      </w:r>
      <w:r>
        <w:rPr>
          <w:rFonts w:ascii="Times New Roman" w:eastAsia="Times New Roman" w:hAnsi="Times New Roman"/>
          <w:sz w:val="24"/>
          <w:szCs w:val="24"/>
          <w:lang w:eastAsia="el-GR"/>
        </w:rPr>
        <w:t>ν</w:t>
      </w:r>
      <w:r w:rsidRPr="008278A7">
        <w:rPr>
          <w:rFonts w:ascii="Times New Roman" w:eastAsia="Times New Roman" w:hAnsi="Times New Roman"/>
          <w:sz w:val="24"/>
          <w:szCs w:val="24"/>
          <w:lang w:eastAsia="el-GR"/>
        </w:rPr>
        <w:t xml:space="preserve"> ενίσχυση των ανέργων</w:t>
      </w:r>
      <w:r>
        <w:rPr>
          <w:rFonts w:ascii="Times New Roman" w:eastAsia="Times New Roman" w:hAnsi="Times New Roman"/>
          <w:sz w:val="24"/>
          <w:szCs w:val="24"/>
          <w:lang w:eastAsia="el-GR"/>
        </w:rPr>
        <w:t xml:space="preserve"> και των εποχικά απασχολούμενων,</w:t>
      </w:r>
    </w:p>
    <w:p w:rsidR="000F39EA" w:rsidRPr="00CD6D27" w:rsidRDefault="000F39EA" w:rsidP="00FE7E83">
      <w:pPr>
        <w:pStyle w:val="ListParagraph"/>
        <w:numPr>
          <w:ilvl w:val="0"/>
          <w:numId w:val="8"/>
        </w:numPr>
        <w:spacing w:line="240" w:lineRule="auto"/>
        <w:ind w:left="284" w:hanging="284"/>
        <w:jc w:val="both"/>
        <w:rPr>
          <w:rFonts w:ascii="Times New Roman" w:eastAsia="Times New Roman" w:hAnsi="Times New Roman"/>
          <w:sz w:val="24"/>
          <w:szCs w:val="24"/>
          <w:lang w:eastAsia="el-GR"/>
        </w:rPr>
      </w:pPr>
      <w:r w:rsidRPr="00CD6D27">
        <w:rPr>
          <w:rFonts w:ascii="Times New Roman" w:eastAsia="Times New Roman" w:hAnsi="Times New Roman"/>
          <w:sz w:val="24"/>
          <w:szCs w:val="24"/>
          <w:lang w:eastAsia="el-GR"/>
        </w:rPr>
        <w:t>τη στήριξη του τουριστικού κ</w:t>
      </w:r>
      <w:r w:rsidR="00A13CDB">
        <w:rPr>
          <w:rFonts w:ascii="Times New Roman" w:eastAsia="Times New Roman" w:hAnsi="Times New Roman"/>
          <w:sz w:val="24"/>
          <w:szCs w:val="24"/>
          <w:lang w:eastAsia="el-GR"/>
        </w:rPr>
        <w:t>λάδου</w:t>
      </w:r>
      <w:r w:rsidR="00F648A5">
        <w:rPr>
          <w:rFonts w:ascii="Times New Roman" w:eastAsia="Times New Roman" w:hAnsi="Times New Roman"/>
          <w:sz w:val="24"/>
          <w:szCs w:val="24"/>
          <w:lang w:eastAsia="el-GR"/>
        </w:rPr>
        <w:t>, της εστίασης, του πολιτισμού, του αθλητισμού, των μεταφορών</w:t>
      </w:r>
      <w:r w:rsidR="00A13CDB">
        <w:rPr>
          <w:rFonts w:ascii="Times New Roman" w:eastAsia="Times New Roman" w:hAnsi="Times New Roman"/>
          <w:sz w:val="24"/>
          <w:szCs w:val="24"/>
          <w:lang w:eastAsia="el-GR"/>
        </w:rPr>
        <w:t xml:space="preserve"> και του πρωτογενούς τομέα και</w:t>
      </w:r>
    </w:p>
    <w:p w:rsidR="000F39EA" w:rsidRPr="00E97B31" w:rsidRDefault="004C1FC9" w:rsidP="00FE7E83">
      <w:pPr>
        <w:pStyle w:val="ListParagraph"/>
        <w:numPr>
          <w:ilvl w:val="0"/>
          <w:numId w:val="8"/>
        </w:numPr>
        <w:spacing w:line="240" w:lineRule="auto"/>
        <w:ind w:left="284" w:hanging="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τη</w:t>
      </w:r>
      <w:r w:rsidR="000F39EA">
        <w:rPr>
          <w:rFonts w:ascii="Times New Roman" w:eastAsia="Times New Roman" w:hAnsi="Times New Roman"/>
          <w:sz w:val="24"/>
          <w:szCs w:val="24"/>
          <w:lang w:eastAsia="el-GR"/>
        </w:rPr>
        <w:t xml:space="preserve"> </w:t>
      </w:r>
      <w:r w:rsidR="00F648A5">
        <w:rPr>
          <w:rFonts w:ascii="Times New Roman" w:eastAsia="Times New Roman" w:hAnsi="Times New Roman"/>
          <w:sz w:val="24"/>
          <w:szCs w:val="24"/>
          <w:lang w:eastAsia="el-GR"/>
        </w:rPr>
        <w:t>στήριξη των ευάλωτων δανειοληπτών.</w:t>
      </w:r>
    </w:p>
    <w:p w:rsidR="000F39EA" w:rsidRDefault="000F39EA" w:rsidP="000F39EA">
      <w:pPr>
        <w:contextualSpacing/>
        <w:jc w:val="both"/>
      </w:pPr>
      <w:r>
        <w:t xml:space="preserve">Θα πρέπει να τονιστεί ότι η λήψη των ανωτέρω μέτρων δεν εμπόδισε την εφαρμογή εντός του 2020 </w:t>
      </w:r>
      <w:r w:rsidR="00F648A5">
        <w:t>των προγραμματισμένων παρεμβάσεων</w:t>
      </w:r>
      <w:r>
        <w:t xml:space="preserve"> όπως:</w:t>
      </w:r>
    </w:p>
    <w:p w:rsidR="000F39EA" w:rsidRPr="0037347B" w:rsidRDefault="000F39EA" w:rsidP="000F39EA">
      <w:pPr>
        <w:contextualSpacing/>
        <w:jc w:val="both"/>
      </w:pPr>
    </w:p>
    <w:p w:rsidR="000F39EA" w:rsidRDefault="000F39EA" w:rsidP="00FE7E83">
      <w:pPr>
        <w:numPr>
          <w:ilvl w:val="0"/>
          <w:numId w:val="2"/>
        </w:numPr>
        <w:ind w:left="284" w:hanging="284"/>
        <w:contextualSpacing/>
        <w:jc w:val="both"/>
      </w:pPr>
      <w:r w:rsidRPr="00EC0819">
        <w:t xml:space="preserve">η παροχή κινήτρων για την αντιμετώπιση της υπογεννητικότητας, μέσω της χορήγησης επιδόματος </w:t>
      </w:r>
      <w:r w:rsidR="00C4752B">
        <w:t xml:space="preserve">2.000 ευρώ </w:t>
      </w:r>
      <w:r w:rsidRPr="00EC0819">
        <w:t>για κάθε γέννηση, καθώς και της μείωσης του συντελεστή ΦΠΑ σε βασικά είδη βρεφικής ηλικίας,</w:t>
      </w:r>
    </w:p>
    <w:p w:rsidR="00C4752B" w:rsidRDefault="00C4752B" w:rsidP="00C4752B">
      <w:pPr>
        <w:numPr>
          <w:ilvl w:val="0"/>
          <w:numId w:val="2"/>
        </w:numPr>
        <w:ind w:left="284" w:hanging="284"/>
        <w:contextualSpacing/>
        <w:jc w:val="both"/>
      </w:pPr>
      <w:r>
        <w:t>η αναμόρφωση της φορολογίας εισοδήματος φυσικών προσώπων με εισαγωγικό συντελεστή 9% και αύξηση του αφορολόγητου για κάθε τέκνο</w:t>
      </w:r>
      <w:r w:rsidR="004C1FC9">
        <w:t>,</w:t>
      </w:r>
    </w:p>
    <w:p w:rsidR="00C4752B" w:rsidRDefault="00C4752B" w:rsidP="00C4752B">
      <w:pPr>
        <w:numPr>
          <w:ilvl w:val="0"/>
          <w:numId w:val="2"/>
        </w:numPr>
        <w:ind w:left="284" w:hanging="284"/>
        <w:contextualSpacing/>
        <w:jc w:val="both"/>
      </w:pPr>
      <w:r>
        <w:t>η μείωση ασφαλιστικών εισφορών για απασχολούμενους πλήρους απασχόλησης</w:t>
      </w:r>
      <w:r w:rsidR="004C1FC9">
        <w:t>,</w:t>
      </w:r>
    </w:p>
    <w:p w:rsidR="00C4752B" w:rsidRDefault="00C4752B" w:rsidP="00C4752B">
      <w:pPr>
        <w:numPr>
          <w:ilvl w:val="0"/>
          <w:numId w:val="2"/>
        </w:numPr>
        <w:ind w:left="284" w:hanging="284"/>
        <w:contextualSpacing/>
        <w:jc w:val="both"/>
      </w:pPr>
      <w:r>
        <w:t>η μείωση φόρου εισοδήματος νομικών προσώπων από το 28% στο 24%</w:t>
      </w:r>
      <w:r w:rsidR="004C1FC9">
        <w:t>,</w:t>
      </w:r>
    </w:p>
    <w:p w:rsidR="00C4752B" w:rsidRDefault="00C4752B" w:rsidP="00C4752B">
      <w:pPr>
        <w:numPr>
          <w:ilvl w:val="0"/>
          <w:numId w:val="2"/>
        </w:numPr>
        <w:ind w:left="284" w:hanging="284"/>
        <w:contextualSpacing/>
        <w:jc w:val="both"/>
      </w:pPr>
      <w:r>
        <w:t>η μείωση φορολογίας διανεμόμενων κερδών από το 10% σε 5%</w:t>
      </w:r>
      <w:r w:rsidR="004C1FC9">
        <w:t>,</w:t>
      </w:r>
    </w:p>
    <w:p w:rsidR="00C4752B" w:rsidRPr="00C4752B" w:rsidRDefault="00C4752B" w:rsidP="00C4752B">
      <w:pPr>
        <w:numPr>
          <w:ilvl w:val="0"/>
          <w:numId w:val="2"/>
        </w:numPr>
        <w:ind w:left="284" w:hanging="284"/>
        <w:contextualSpacing/>
        <w:jc w:val="both"/>
      </w:pPr>
      <w:r>
        <w:t>η α</w:t>
      </w:r>
      <w:r w:rsidRPr="00C4752B">
        <w:t>ναστολή ΦΠΑ στις νέες οικοδομές για 3 έτη</w:t>
      </w:r>
      <w:r w:rsidR="004C1FC9">
        <w:t>,</w:t>
      </w:r>
    </w:p>
    <w:p w:rsidR="00C4752B" w:rsidRDefault="00C4752B" w:rsidP="00C4752B">
      <w:pPr>
        <w:numPr>
          <w:ilvl w:val="0"/>
          <w:numId w:val="2"/>
        </w:numPr>
        <w:ind w:left="284" w:hanging="284"/>
        <w:contextualSpacing/>
        <w:jc w:val="both"/>
      </w:pPr>
      <w:r>
        <w:t>η κ</w:t>
      </w:r>
      <w:r w:rsidRPr="00C4752B">
        <w:t>αταπολέμηση της φοροδιαφυγής και διεύρυνση της φορολογικής βάσης με μέτρα προώθησης των ηλεκτρονικών συναλλαγών</w:t>
      </w:r>
      <w:r w:rsidR="004C1FC9">
        <w:t>,</w:t>
      </w:r>
    </w:p>
    <w:p w:rsidR="000F39EA" w:rsidRPr="004F7427" w:rsidRDefault="000F39EA" w:rsidP="00FE7E83">
      <w:pPr>
        <w:numPr>
          <w:ilvl w:val="0"/>
          <w:numId w:val="2"/>
        </w:numPr>
        <w:ind w:left="284" w:hanging="284"/>
        <w:contextualSpacing/>
        <w:jc w:val="both"/>
      </w:pPr>
      <w:r w:rsidRPr="004F7427">
        <w:t xml:space="preserve">η συνέχιση </w:t>
      </w:r>
      <w:r w:rsidR="00F648A5">
        <w:t xml:space="preserve">και ενίσχυση </w:t>
      </w:r>
      <w:r w:rsidRPr="004F7427">
        <w:t>των δράσεων του ΟΠΕΚΑ για τη στήριξη των ευάλωτων κοινωνικών ομάδων,</w:t>
      </w:r>
    </w:p>
    <w:p w:rsidR="000F39EA" w:rsidRPr="00EC0819" w:rsidRDefault="000F39EA" w:rsidP="00FE7E83">
      <w:pPr>
        <w:numPr>
          <w:ilvl w:val="0"/>
          <w:numId w:val="2"/>
        </w:numPr>
        <w:ind w:left="284" w:hanging="284"/>
        <w:contextualSpacing/>
        <w:jc w:val="both"/>
      </w:pPr>
      <w:r w:rsidRPr="00EC0819">
        <w:t xml:space="preserve">η επισκόπηση δαπανών </w:t>
      </w:r>
      <w:r w:rsidR="00F763EF">
        <w:t xml:space="preserve">και δραστηριοτήτων </w:t>
      </w:r>
      <w:r>
        <w:t>στο σύνολο της Γενικής Κυβέρνησης</w:t>
      </w:r>
      <w:r w:rsidR="00A13CDB">
        <w:t>,</w:t>
      </w:r>
      <w:r>
        <w:t xml:space="preserve"> </w:t>
      </w:r>
      <w:r w:rsidRPr="00EC0819">
        <w:t>προκειμένου να δημιουργηθεί δημοσιονομικός χώρος για την εφαρμογή δράσεων με προσανατ</w:t>
      </w:r>
      <w:r w:rsidR="004C1FC9">
        <w:t>ολισμό στην οικονομική ανάπτυξη και</w:t>
      </w:r>
    </w:p>
    <w:p w:rsidR="000F39EA" w:rsidRPr="00EC0819" w:rsidRDefault="000F39EA" w:rsidP="00FE7E83">
      <w:pPr>
        <w:numPr>
          <w:ilvl w:val="0"/>
          <w:numId w:val="2"/>
        </w:numPr>
        <w:ind w:left="284" w:hanging="284"/>
        <w:contextualSpacing/>
        <w:jc w:val="both"/>
      </w:pPr>
      <w:r w:rsidRPr="00EC0819">
        <w:t>η συνέχιση του προγράμματος αποκρατικοποιήσεων.</w:t>
      </w:r>
    </w:p>
    <w:p w:rsidR="000F39EA" w:rsidRDefault="000F39EA" w:rsidP="000F39EA">
      <w:pPr>
        <w:contextualSpacing/>
        <w:jc w:val="both"/>
      </w:pPr>
    </w:p>
    <w:p w:rsidR="00E30C8C" w:rsidRPr="000F39EA" w:rsidRDefault="00E30C8C" w:rsidP="00E30C8C">
      <w:pPr>
        <w:spacing w:line="228" w:lineRule="auto"/>
        <w:ind w:left="284" w:hanging="284"/>
        <w:contextualSpacing/>
        <w:jc w:val="both"/>
      </w:pPr>
    </w:p>
    <w:p w:rsidR="00E30C8C" w:rsidRPr="00DB3F3A" w:rsidRDefault="00E30C8C" w:rsidP="00E30C8C">
      <w:pPr>
        <w:spacing w:line="228" w:lineRule="auto"/>
        <w:contextualSpacing/>
        <w:jc w:val="both"/>
        <w:rPr>
          <w:rFonts w:ascii="Arial Narrow" w:hAnsi="Arial Narrow"/>
          <w:b/>
          <w:bCs/>
          <w:color w:val="000080"/>
          <w:szCs w:val="22"/>
        </w:rPr>
      </w:pPr>
      <w:r w:rsidRPr="00DB3F3A">
        <w:rPr>
          <w:rFonts w:ascii="Arial Narrow" w:hAnsi="Arial Narrow"/>
          <w:b/>
          <w:bCs/>
          <w:color w:val="000080"/>
          <w:szCs w:val="22"/>
        </w:rPr>
        <w:t>1.1</w:t>
      </w:r>
      <w:r w:rsidRPr="00DB3F3A">
        <w:rPr>
          <w:rFonts w:ascii="Arial Narrow" w:hAnsi="Arial Narrow"/>
          <w:b/>
          <w:bCs/>
          <w:color w:val="000080"/>
          <w:szCs w:val="22"/>
        </w:rPr>
        <w:tab/>
        <w:t>Κρατικός Προϋπολογισμός</w:t>
      </w:r>
    </w:p>
    <w:p w:rsidR="00E30C8C" w:rsidRPr="00DB3F3A" w:rsidRDefault="00E30C8C" w:rsidP="00E30C8C">
      <w:pPr>
        <w:spacing w:line="228" w:lineRule="auto"/>
        <w:contextualSpacing/>
        <w:jc w:val="both"/>
        <w:rPr>
          <w:b/>
          <w:bCs/>
          <w:szCs w:val="22"/>
        </w:rPr>
      </w:pPr>
    </w:p>
    <w:p w:rsidR="0037347B" w:rsidRPr="00DB3F3A" w:rsidRDefault="0037347B" w:rsidP="0037347B">
      <w:pPr>
        <w:spacing w:line="228" w:lineRule="auto"/>
        <w:contextualSpacing/>
        <w:jc w:val="both"/>
        <w:rPr>
          <w:bCs/>
          <w:szCs w:val="22"/>
        </w:rPr>
      </w:pPr>
      <w:r w:rsidRPr="000F39EA">
        <w:rPr>
          <w:bCs/>
          <w:szCs w:val="22"/>
        </w:rPr>
        <w:t>Οι εκτιμήσεις για το δημοσιονομικό αποτέλεσμα</w:t>
      </w:r>
      <w:r w:rsidR="00DB3F3A" w:rsidRPr="000F39EA">
        <w:rPr>
          <w:bCs/>
          <w:szCs w:val="22"/>
        </w:rPr>
        <w:t xml:space="preserve"> της Γενικής Κυβέρνησης του 2020</w:t>
      </w:r>
      <w:r w:rsidRPr="000F39EA">
        <w:rPr>
          <w:bCs/>
          <w:szCs w:val="22"/>
        </w:rPr>
        <w:t xml:space="preserve"> και οι αν</w:t>
      </w:r>
      <w:r w:rsidR="00DB3F3A" w:rsidRPr="000F39EA">
        <w:rPr>
          <w:bCs/>
          <w:szCs w:val="22"/>
        </w:rPr>
        <w:t>τίστοιχες προβλέψεις για το 2021</w:t>
      </w:r>
      <w:r w:rsidRPr="000F39EA">
        <w:rPr>
          <w:bCs/>
          <w:szCs w:val="22"/>
        </w:rPr>
        <w:t xml:space="preserve"> παρουσιάζονται στους πίνακες 2.1 και 2.2. Επισημαίνεται ότι τα στοιχεία που περιλαμβάνονται στους εν λόγω πίνακες είναι εκφρασμένα σε δ</w:t>
      </w:r>
      <w:r w:rsidR="00A1339C" w:rsidRPr="000F39EA">
        <w:rPr>
          <w:bCs/>
          <w:szCs w:val="22"/>
        </w:rPr>
        <w:t>ημοσιονομική</w:t>
      </w:r>
      <w:r w:rsidRPr="000F39EA">
        <w:rPr>
          <w:bCs/>
          <w:szCs w:val="22"/>
        </w:rPr>
        <w:t xml:space="preserve"> βάση.</w:t>
      </w:r>
      <w:r w:rsidRPr="00DB3F3A">
        <w:rPr>
          <w:bCs/>
          <w:szCs w:val="22"/>
        </w:rPr>
        <w:t xml:space="preserve"> </w:t>
      </w:r>
    </w:p>
    <w:p w:rsidR="00E30C8C" w:rsidRPr="00DB3F3A" w:rsidRDefault="00E30C8C" w:rsidP="00E30C8C">
      <w:pPr>
        <w:spacing w:line="228" w:lineRule="auto"/>
        <w:contextualSpacing/>
        <w:jc w:val="both"/>
        <w:rPr>
          <w:b/>
          <w:bCs/>
          <w:szCs w:val="22"/>
        </w:rPr>
      </w:pPr>
    </w:p>
    <w:p w:rsidR="00E30C8C" w:rsidRPr="00DB3F3A" w:rsidRDefault="00E30C8C" w:rsidP="00E30C8C">
      <w:pPr>
        <w:spacing w:line="228" w:lineRule="auto"/>
        <w:contextualSpacing/>
        <w:jc w:val="both"/>
        <w:rPr>
          <w:rFonts w:ascii="Arial Narrow" w:hAnsi="Arial Narrow"/>
          <w:b/>
          <w:bCs/>
          <w:color w:val="000080"/>
          <w:szCs w:val="22"/>
        </w:rPr>
      </w:pPr>
      <w:r w:rsidRPr="00DB3F3A">
        <w:rPr>
          <w:rFonts w:ascii="Arial Narrow" w:hAnsi="Arial Narrow"/>
          <w:b/>
          <w:bCs/>
          <w:color w:val="000080"/>
          <w:szCs w:val="22"/>
        </w:rPr>
        <w:t>Έσοδα</w:t>
      </w:r>
    </w:p>
    <w:p w:rsidR="00DB3F3A" w:rsidRDefault="00DB3F3A" w:rsidP="00DB3F3A">
      <w:pPr>
        <w:ind w:right="-2"/>
        <w:contextualSpacing/>
        <w:jc w:val="both"/>
        <w:rPr>
          <w:szCs w:val="22"/>
        </w:rPr>
      </w:pPr>
    </w:p>
    <w:p w:rsidR="00DB3F3A" w:rsidRDefault="00DB3F3A" w:rsidP="00DB3F3A">
      <w:pPr>
        <w:ind w:right="-2"/>
        <w:contextualSpacing/>
        <w:jc w:val="both"/>
        <w:rPr>
          <w:szCs w:val="22"/>
        </w:rPr>
      </w:pPr>
      <w:r>
        <w:rPr>
          <w:szCs w:val="22"/>
        </w:rPr>
        <w:t xml:space="preserve">Τα έσοδα του κρατικού προϋπολογισμού για το έτος 2020 παρουσιάζουν </w:t>
      </w:r>
      <w:r w:rsidR="007059B5">
        <w:rPr>
          <w:szCs w:val="22"/>
        </w:rPr>
        <w:t xml:space="preserve">σημαντική </w:t>
      </w:r>
      <w:r>
        <w:rPr>
          <w:szCs w:val="22"/>
        </w:rPr>
        <w:t xml:space="preserve">απόκλιση σε σχέση με τον στόχο όπως αυτός αποτυπώνεται στην Εισηγητική Έκθεση Προϋπολογισμού 2020, </w:t>
      </w:r>
      <w:r w:rsidRPr="005A044D">
        <w:rPr>
          <w:szCs w:val="22"/>
        </w:rPr>
        <w:t xml:space="preserve">γεγονός που οφείλεται </w:t>
      </w:r>
      <w:r>
        <w:rPr>
          <w:szCs w:val="22"/>
        </w:rPr>
        <w:t xml:space="preserve">αφενός </w:t>
      </w:r>
      <w:r w:rsidRPr="005A044D">
        <w:rPr>
          <w:szCs w:val="22"/>
        </w:rPr>
        <w:t xml:space="preserve">στη μείωση της οικονομικής δραστηριότητας λόγω της υγειονομικής κρίσης, </w:t>
      </w:r>
      <w:r>
        <w:rPr>
          <w:szCs w:val="22"/>
        </w:rPr>
        <w:t>αφετέρου</w:t>
      </w:r>
      <w:r w:rsidRPr="005A044D">
        <w:rPr>
          <w:szCs w:val="22"/>
        </w:rPr>
        <w:t xml:space="preserve"> στην επίπτωση από τη λήψη </w:t>
      </w:r>
      <w:r>
        <w:rPr>
          <w:szCs w:val="22"/>
        </w:rPr>
        <w:t xml:space="preserve">συγκεκριμένων </w:t>
      </w:r>
      <w:r w:rsidRPr="005A044D">
        <w:rPr>
          <w:szCs w:val="22"/>
        </w:rPr>
        <w:t xml:space="preserve">μέτρων για την αντιμετώπισή </w:t>
      </w:r>
      <w:r>
        <w:rPr>
          <w:szCs w:val="22"/>
        </w:rPr>
        <w:t>της.</w:t>
      </w:r>
    </w:p>
    <w:p w:rsidR="00DB3F3A" w:rsidRPr="005A044D" w:rsidRDefault="00DB3F3A" w:rsidP="00DB3F3A">
      <w:pPr>
        <w:ind w:right="-2"/>
        <w:contextualSpacing/>
        <w:jc w:val="both"/>
        <w:rPr>
          <w:szCs w:val="22"/>
        </w:rPr>
      </w:pPr>
    </w:p>
    <w:p w:rsidR="00DB3F3A" w:rsidRDefault="00DB3F3A" w:rsidP="00DB3F3A">
      <w:pPr>
        <w:ind w:right="-2"/>
        <w:contextualSpacing/>
        <w:jc w:val="both"/>
        <w:rPr>
          <w:szCs w:val="22"/>
        </w:rPr>
      </w:pPr>
      <w:r w:rsidRPr="004F40E8">
        <w:rPr>
          <w:szCs w:val="22"/>
        </w:rPr>
        <w:t xml:space="preserve">Τα καθαρά έσοδα του </w:t>
      </w:r>
      <w:r>
        <w:rPr>
          <w:szCs w:val="22"/>
        </w:rPr>
        <w:t xml:space="preserve">Κρατικού Προϋπολογισμού, </w:t>
      </w:r>
      <w:r w:rsidRPr="004F40E8">
        <w:rPr>
          <w:szCs w:val="22"/>
        </w:rPr>
        <w:t xml:space="preserve">σε </w:t>
      </w:r>
      <w:r>
        <w:rPr>
          <w:szCs w:val="22"/>
        </w:rPr>
        <w:t>δημοσιονομική βάση</w:t>
      </w:r>
      <w:r w:rsidRPr="004F40E8">
        <w:rPr>
          <w:szCs w:val="22"/>
        </w:rPr>
        <w:t xml:space="preserve">, μετά τη μείωση των επιστροφών φόρων, εκτιμάται ότι θα διαμορφωθούν στα </w:t>
      </w:r>
      <w:r w:rsidRPr="005A044D">
        <w:rPr>
          <w:szCs w:val="22"/>
        </w:rPr>
        <w:t>50.147</w:t>
      </w:r>
      <w:r w:rsidRPr="00DA7257">
        <w:rPr>
          <w:szCs w:val="22"/>
        </w:rPr>
        <w:t xml:space="preserve"> </w:t>
      </w:r>
      <w:r w:rsidRPr="004F40E8">
        <w:rPr>
          <w:szCs w:val="22"/>
        </w:rPr>
        <w:t>εκατ. ευρώ</w:t>
      </w:r>
      <w:r>
        <w:rPr>
          <w:szCs w:val="22"/>
        </w:rPr>
        <w:t>,</w:t>
      </w:r>
      <w:r w:rsidRPr="004F40E8">
        <w:rPr>
          <w:szCs w:val="22"/>
        </w:rPr>
        <w:t xml:space="preserve"> παρουσιάζοντας </w:t>
      </w:r>
      <w:r w:rsidRPr="005A044D">
        <w:rPr>
          <w:szCs w:val="22"/>
        </w:rPr>
        <w:t>με</w:t>
      </w:r>
      <w:r>
        <w:rPr>
          <w:szCs w:val="22"/>
        </w:rPr>
        <w:t>ίωση</w:t>
      </w:r>
      <w:r w:rsidRPr="004F40E8">
        <w:rPr>
          <w:szCs w:val="22"/>
        </w:rPr>
        <w:t xml:space="preserve"> κατά </w:t>
      </w:r>
      <w:r>
        <w:rPr>
          <w:szCs w:val="22"/>
        </w:rPr>
        <w:t>4.563 εκατ. ευρώ ή 8,3</w:t>
      </w:r>
      <w:r w:rsidRPr="004F40E8">
        <w:rPr>
          <w:szCs w:val="22"/>
        </w:rPr>
        <w:t>%</w:t>
      </w:r>
      <w:r>
        <w:rPr>
          <w:szCs w:val="22"/>
        </w:rPr>
        <w:t>,</w:t>
      </w:r>
      <w:r w:rsidRPr="004F40E8">
        <w:rPr>
          <w:szCs w:val="22"/>
        </w:rPr>
        <w:t xml:space="preserve"> έναντι του </w:t>
      </w:r>
      <w:r>
        <w:rPr>
          <w:szCs w:val="22"/>
        </w:rPr>
        <w:t>στόχου του Προϋπολογισμού 2020.</w:t>
      </w:r>
    </w:p>
    <w:p w:rsidR="00DB3F3A" w:rsidRDefault="00DB3F3A" w:rsidP="00DB3F3A">
      <w:pPr>
        <w:ind w:right="-2"/>
        <w:contextualSpacing/>
        <w:jc w:val="both"/>
        <w:rPr>
          <w:szCs w:val="22"/>
        </w:rPr>
      </w:pPr>
    </w:p>
    <w:p w:rsidR="005B30D7" w:rsidRPr="00701123" w:rsidRDefault="005B30D7" w:rsidP="00DB3F3A">
      <w:pPr>
        <w:ind w:right="-2"/>
        <w:contextualSpacing/>
        <w:jc w:val="both"/>
        <w:rPr>
          <w:szCs w:val="22"/>
        </w:rPr>
      </w:pPr>
    </w:p>
    <w:p w:rsidR="001F70FF" w:rsidRPr="00DB3F3A" w:rsidRDefault="001F70FF" w:rsidP="001F70FF">
      <w:pPr>
        <w:jc w:val="both"/>
        <w:rPr>
          <w:rFonts w:ascii="Arial Narrow" w:hAnsi="Arial Narrow"/>
          <w:b/>
          <w:i/>
          <w:color w:val="000080"/>
          <w:sz w:val="22"/>
          <w:szCs w:val="22"/>
        </w:rPr>
      </w:pPr>
      <w:r w:rsidRPr="00DB3F3A">
        <w:rPr>
          <w:rFonts w:ascii="Arial Narrow" w:hAnsi="Arial Narrow"/>
          <w:b/>
          <w:i/>
          <w:color w:val="000080"/>
          <w:sz w:val="22"/>
          <w:szCs w:val="22"/>
        </w:rPr>
        <w:lastRenderedPageBreak/>
        <w:t>Ανάλυση εσόδων κατά μείζονα κατηγορία</w:t>
      </w:r>
      <w:r w:rsidR="00C67247" w:rsidRPr="00DB3F3A">
        <w:rPr>
          <w:rFonts w:ascii="Arial Narrow" w:hAnsi="Arial Narrow"/>
          <w:b/>
          <w:i/>
          <w:color w:val="000080"/>
          <w:sz w:val="22"/>
          <w:szCs w:val="22"/>
        </w:rPr>
        <w:t xml:space="preserve"> (σε δημοσιονομική βάση)</w:t>
      </w:r>
    </w:p>
    <w:p w:rsidR="001F70FF" w:rsidRPr="00DB3F3A" w:rsidRDefault="001F70FF" w:rsidP="001F70FF">
      <w:pPr>
        <w:jc w:val="both"/>
        <w:rPr>
          <w:sz w:val="22"/>
          <w:szCs w:val="22"/>
        </w:rPr>
      </w:pPr>
    </w:p>
    <w:p w:rsidR="001F70FF" w:rsidRPr="00DB3F3A" w:rsidRDefault="001F70FF" w:rsidP="001F70FF">
      <w:pPr>
        <w:jc w:val="both"/>
        <w:rPr>
          <w:sz w:val="22"/>
          <w:szCs w:val="22"/>
        </w:rPr>
      </w:pPr>
      <w:r w:rsidRPr="00DB3F3A">
        <w:rPr>
          <w:rFonts w:ascii="Arial Narrow" w:hAnsi="Arial Narrow"/>
          <w:b/>
          <w:i/>
          <w:sz w:val="22"/>
          <w:szCs w:val="22"/>
        </w:rPr>
        <w:t>Φόροι</w:t>
      </w:r>
    </w:p>
    <w:p w:rsidR="001F70FF" w:rsidRPr="00DB3F3A" w:rsidRDefault="001F70FF" w:rsidP="001F70FF">
      <w:pPr>
        <w:jc w:val="both"/>
        <w:rPr>
          <w:rFonts w:ascii="Arial Narrow" w:hAnsi="Arial Narrow"/>
          <w:b/>
          <w:i/>
          <w:sz w:val="22"/>
          <w:szCs w:val="22"/>
        </w:rPr>
      </w:pPr>
    </w:p>
    <w:p w:rsidR="001F70FF" w:rsidRPr="00DB3F3A" w:rsidRDefault="001F70FF" w:rsidP="00FE7E83">
      <w:pPr>
        <w:pStyle w:val="ListParagraph"/>
        <w:numPr>
          <w:ilvl w:val="0"/>
          <w:numId w:val="5"/>
        </w:numPr>
        <w:spacing w:after="0" w:line="240" w:lineRule="auto"/>
        <w:ind w:left="284" w:hanging="284"/>
        <w:contextualSpacing w:val="0"/>
        <w:jc w:val="both"/>
        <w:rPr>
          <w:rFonts w:ascii="Times New Roman" w:hAnsi="Times New Roman"/>
          <w:b/>
          <w:i/>
          <w:sz w:val="24"/>
        </w:rPr>
      </w:pPr>
      <w:r w:rsidRPr="00DB3F3A">
        <w:rPr>
          <w:rFonts w:ascii="Times New Roman" w:hAnsi="Times New Roman"/>
          <w:b/>
          <w:i/>
          <w:sz w:val="24"/>
        </w:rPr>
        <w:t>Φόροι επί αγαθών και υπηρεσιών</w:t>
      </w:r>
    </w:p>
    <w:p w:rsidR="006F0262" w:rsidRDefault="006F0262" w:rsidP="006F0262">
      <w:pPr>
        <w:ind w:right="-2"/>
        <w:contextualSpacing/>
        <w:jc w:val="both"/>
        <w:rPr>
          <w:szCs w:val="22"/>
        </w:rPr>
      </w:pPr>
    </w:p>
    <w:p w:rsidR="006F0262" w:rsidRDefault="006F0262" w:rsidP="006F0262">
      <w:pPr>
        <w:ind w:right="-2"/>
        <w:contextualSpacing/>
        <w:jc w:val="both"/>
        <w:rPr>
          <w:szCs w:val="22"/>
        </w:rPr>
      </w:pPr>
      <w:r w:rsidRPr="001F70FF">
        <w:rPr>
          <w:szCs w:val="22"/>
        </w:rPr>
        <w:t>Στην κατηγορία αυτή περιλαμβάνονται κυρίως ο ΦΠΑ, οι Ειδικοί Φόροι Κατανάλωσης (ΕΦΚ), οι φόροι με μορφή χαρτοσήμου και οι φόροι επί χρηματοοικονομικών και κεφαλαιακών συναλλαγών. Από φόρους επί αγαθών και υπηρεσιών, εκτιμάται ότι θα εισπραχθούν έ</w:t>
      </w:r>
      <w:r>
        <w:rPr>
          <w:szCs w:val="22"/>
        </w:rPr>
        <w:t>σοδα ύψους 23.936</w:t>
      </w:r>
      <w:r w:rsidRPr="001F70FF">
        <w:rPr>
          <w:szCs w:val="22"/>
        </w:rPr>
        <w:t xml:space="preserve"> εκατ. ευρώ, </w:t>
      </w:r>
      <w:r>
        <w:rPr>
          <w:szCs w:val="22"/>
        </w:rPr>
        <w:t>μειω</w:t>
      </w:r>
      <w:r w:rsidRPr="001F70FF">
        <w:rPr>
          <w:szCs w:val="22"/>
        </w:rPr>
        <w:t xml:space="preserve">μένα κατά </w:t>
      </w:r>
      <w:r>
        <w:rPr>
          <w:szCs w:val="22"/>
        </w:rPr>
        <w:t>4.621</w:t>
      </w:r>
      <w:r w:rsidRPr="001F70FF">
        <w:rPr>
          <w:szCs w:val="22"/>
        </w:rPr>
        <w:t xml:space="preserve"> εκατ.</w:t>
      </w:r>
      <w:r>
        <w:rPr>
          <w:szCs w:val="22"/>
        </w:rPr>
        <w:t xml:space="preserve"> ευρώ</w:t>
      </w:r>
      <w:r w:rsidRPr="001F70FF">
        <w:rPr>
          <w:szCs w:val="22"/>
        </w:rPr>
        <w:t xml:space="preserve"> ή </w:t>
      </w:r>
      <w:r>
        <w:rPr>
          <w:szCs w:val="22"/>
        </w:rPr>
        <w:t>16,2</w:t>
      </w:r>
      <w:r w:rsidRPr="001F70FF">
        <w:rPr>
          <w:szCs w:val="22"/>
        </w:rPr>
        <w:t xml:space="preserve">% έναντι του στόχου. </w:t>
      </w:r>
      <w:r>
        <w:rPr>
          <w:szCs w:val="22"/>
        </w:rPr>
        <w:t>Ειδικότερα</w:t>
      </w:r>
      <w:r w:rsidR="00FC5D63">
        <w:rPr>
          <w:szCs w:val="22"/>
        </w:rPr>
        <w:t>,</w:t>
      </w:r>
      <w:r>
        <w:rPr>
          <w:szCs w:val="22"/>
        </w:rPr>
        <w:t xml:space="preserve"> η μείωση του</w:t>
      </w:r>
      <w:r w:rsidRPr="001F70FF">
        <w:rPr>
          <w:szCs w:val="22"/>
        </w:rPr>
        <w:t xml:space="preserve"> </w:t>
      </w:r>
      <w:r>
        <w:rPr>
          <w:szCs w:val="22"/>
        </w:rPr>
        <w:t>ΦΠΑ αναμένεται να ανέλθει στα 3.411 εκατ. ευρώ και τ</w:t>
      </w:r>
      <w:r w:rsidR="00FC5D63">
        <w:rPr>
          <w:szCs w:val="22"/>
        </w:rPr>
        <w:t>ων</w:t>
      </w:r>
      <w:r>
        <w:rPr>
          <w:szCs w:val="22"/>
        </w:rPr>
        <w:t xml:space="preserve"> </w:t>
      </w:r>
      <w:r w:rsidRPr="001F70FF">
        <w:rPr>
          <w:szCs w:val="22"/>
        </w:rPr>
        <w:t xml:space="preserve">ΕΦΚ </w:t>
      </w:r>
      <w:r>
        <w:rPr>
          <w:szCs w:val="22"/>
        </w:rPr>
        <w:t>στα</w:t>
      </w:r>
      <w:r w:rsidRPr="001F70FF">
        <w:rPr>
          <w:szCs w:val="22"/>
        </w:rPr>
        <w:t xml:space="preserve"> </w:t>
      </w:r>
      <w:r>
        <w:rPr>
          <w:szCs w:val="22"/>
        </w:rPr>
        <w:t>695</w:t>
      </w:r>
      <w:r w:rsidRPr="001F70FF">
        <w:rPr>
          <w:szCs w:val="22"/>
        </w:rPr>
        <w:t xml:space="preserve"> εκατ. ευρώ.</w:t>
      </w:r>
    </w:p>
    <w:p w:rsidR="006F0262" w:rsidRDefault="006F0262" w:rsidP="006F0262">
      <w:pPr>
        <w:ind w:right="-2"/>
        <w:contextualSpacing/>
        <w:jc w:val="both"/>
        <w:rPr>
          <w:szCs w:val="22"/>
        </w:rPr>
      </w:pPr>
    </w:p>
    <w:p w:rsidR="006F0262" w:rsidRPr="001F70FF" w:rsidRDefault="006F0262" w:rsidP="00FE7E83">
      <w:pPr>
        <w:pStyle w:val="ListParagraph"/>
        <w:numPr>
          <w:ilvl w:val="0"/>
          <w:numId w:val="5"/>
        </w:numPr>
        <w:spacing w:after="0" w:line="240" w:lineRule="auto"/>
        <w:ind w:left="284" w:hanging="284"/>
        <w:contextualSpacing w:val="0"/>
        <w:jc w:val="both"/>
        <w:rPr>
          <w:rFonts w:ascii="Times New Roman" w:hAnsi="Times New Roman"/>
          <w:b/>
          <w:i/>
          <w:sz w:val="24"/>
          <w:szCs w:val="24"/>
        </w:rPr>
      </w:pPr>
      <w:r w:rsidRPr="001F70FF">
        <w:rPr>
          <w:rFonts w:ascii="Times New Roman" w:hAnsi="Times New Roman"/>
          <w:b/>
          <w:i/>
          <w:sz w:val="24"/>
          <w:szCs w:val="24"/>
        </w:rPr>
        <w:t>Φόροι και δασμοί επί εισαγωγών</w:t>
      </w:r>
    </w:p>
    <w:p w:rsidR="006F0262" w:rsidRPr="001F70FF" w:rsidRDefault="006F0262" w:rsidP="006F0262">
      <w:pPr>
        <w:jc w:val="both"/>
      </w:pPr>
    </w:p>
    <w:p w:rsidR="006F0262" w:rsidRDefault="006F0262" w:rsidP="006F0262">
      <w:pPr>
        <w:jc w:val="both"/>
      </w:pPr>
      <w:r w:rsidRPr="001F70FF">
        <w:t>Στην κατηγορία αυτή περιλαμβάνονται κυρίως οι δασμοί και τα λοιπά τέλη που επιβάλ</w:t>
      </w:r>
      <w:r w:rsidR="00FC5D63">
        <w:t xml:space="preserve">λονται στις εισαγωγές από κράτη μη </w:t>
      </w:r>
      <w:r w:rsidRPr="001F70FF">
        <w:t xml:space="preserve">μέλη της ΕΕ με βάση το κοινό τελωνειακό δασμολόγιο. Εκτιμώνται έσοδα </w:t>
      </w:r>
      <w:r>
        <w:t>242</w:t>
      </w:r>
      <w:r w:rsidRPr="001F70FF">
        <w:t xml:space="preserve"> εκατ. ευρώ, </w:t>
      </w:r>
      <w:r>
        <w:t>μειωμένα κατά 80</w:t>
      </w:r>
      <w:r w:rsidRPr="001F70FF">
        <w:t xml:space="preserve"> εκατ. ευρώ, έναντι του στόχου</w:t>
      </w:r>
      <w:r>
        <w:t xml:space="preserve"> του προϋπολογισμού</w:t>
      </w:r>
      <w:r w:rsidRPr="001F70FF">
        <w:t>.</w:t>
      </w:r>
    </w:p>
    <w:p w:rsidR="006F0262" w:rsidRPr="001F70FF" w:rsidRDefault="006F0262" w:rsidP="006F0262">
      <w:pPr>
        <w:jc w:val="both"/>
      </w:pPr>
    </w:p>
    <w:p w:rsidR="006F0262" w:rsidRPr="001F70FF" w:rsidRDefault="006F0262" w:rsidP="00FE7E83">
      <w:pPr>
        <w:pStyle w:val="ListParagraph"/>
        <w:numPr>
          <w:ilvl w:val="0"/>
          <w:numId w:val="5"/>
        </w:numPr>
        <w:spacing w:after="0" w:line="240" w:lineRule="auto"/>
        <w:ind w:left="284" w:hanging="284"/>
        <w:contextualSpacing w:val="0"/>
        <w:jc w:val="both"/>
        <w:rPr>
          <w:rFonts w:ascii="Times New Roman" w:hAnsi="Times New Roman"/>
          <w:b/>
          <w:i/>
          <w:sz w:val="24"/>
          <w:szCs w:val="24"/>
        </w:rPr>
      </w:pPr>
      <w:r w:rsidRPr="001F70FF">
        <w:rPr>
          <w:rFonts w:ascii="Times New Roman" w:hAnsi="Times New Roman"/>
          <w:b/>
          <w:i/>
          <w:sz w:val="24"/>
          <w:szCs w:val="24"/>
        </w:rPr>
        <w:t>Τακτικοί φόροι ακίνητης περιουσίας</w:t>
      </w:r>
    </w:p>
    <w:p w:rsidR="006F0262" w:rsidRPr="001F70FF" w:rsidRDefault="006F0262" w:rsidP="006F0262">
      <w:pPr>
        <w:jc w:val="both"/>
        <w:rPr>
          <w:b/>
          <w:i/>
        </w:rPr>
      </w:pPr>
    </w:p>
    <w:p w:rsidR="006F0262" w:rsidRDefault="006F0262" w:rsidP="006F0262">
      <w:pPr>
        <w:jc w:val="both"/>
      </w:pPr>
      <w:r w:rsidRPr="001F70FF">
        <w:t>Από τους τακτικούς φόρους ακίνητης περιουσίας, που περιλαμβάνουν κυρίως τον ΕΝΦΙΑ, αναμένεται να εισπραχθούν έσοδα ύψους 2.</w:t>
      </w:r>
      <w:r>
        <w:t xml:space="preserve">690 </w:t>
      </w:r>
      <w:r w:rsidRPr="001F70FF">
        <w:t>εκατ. ευρώ, μειωμένα</w:t>
      </w:r>
      <w:r w:rsidRPr="00DA7257">
        <w:t xml:space="preserve"> </w:t>
      </w:r>
      <w:r w:rsidRPr="001F70FF">
        <w:t xml:space="preserve">κατά </w:t>
      </w:r>
      <w:r>
        <w:t>138</w:t>
      </w:r>
      <w:r w:rsidRPr="001F70FF">
        <w:t xml:space="preserve"> εκατ. ευρώ, έναντι του στόχου</w:t>
      </w:r>
      <w:r>
        <w:t xml:space="preserve"> του προϋπολογισμού</w:t>
      </w:r>
      <w:r w:rsidRPr="001F70FF">
        <w:t>.</w:t>
      </w:r>
    </w:p>
    <w:p w:rsidR="006F0262" w:rsidRPr="001F70FF" w:rsidRDefault="006F0262" w:rsidP="006F0262">
      <w:pPr>
        <w:jc w:val="both"/>
        <w:rPr>
          <w:bCs/>
        </w:rPr>
      </w:pPr>
    </w:p>
    <w:p w:rsidR="006F0262" w:rsidRPr="001F70FF" w:rsidRDefault="006F0262" w:rsidP="00FE7E83">
      <w:pPr>
        <w:pStyle w:val="ListParagraph"/>
        <w:numPr>
          <w:ilvl w:val="0"/>
          <w:numId w:val="5"/>
        </w:numPr>
        <w:spacing w:after="0" w:line="240" w:lineRule="auto"/>
        <w:ind w:left="284" w:hanging="284"/>
        <w:contextualSpacing w:val="0"/>
        <w:jc w:val="both"/>
        <w:rPr>
          <w:rFonts w:ascii="Times New Roman" w:hAnsi="Times New Roman"/>
          <w:b/>
          <w:i/>
          <w:sz w:val="24"/>
          <w:szCs w:val="24"/>
        </w:rPr>
      </w:pPr>
      <w:r w:rsidRPr="001F70FF">
        <w:rPr>
          <w:rFonts w:ascii="Times New Roman" w:hAnsi="Times New Roman"/>
          <w:b/>
          <w:i/>
          <w:sz w:val="24"/>
          <w:szCs w:val="24"/>
        </w:rPr>
        <w:t>Λοιποί φόροι επί παραγωγής</w:t>
      </w:r>
    </w:p>
    <w:p w:rsidR="006F0262" w:rsidRPr="001F70FF" w:rsidRDefault="006F0262" w:rsidP="006F0262">
      <w:pPr>
        <w:jc w:val="both"/>
      </w:pPr>
    </w:p>
    <w:p w:rsidR="006F0262" w:rsidRDefault="006F0262" w:rsidP="006F0262">
      <w:pPr>
        <w:jc w:val="both"/>
      </w:pPr>
      <w:r w:rsidRPr="001F70FF">
        <w:t>Τα κύρια έσοδα της κατηγορίας αυτής προέρχονται από το τέλος επιτηδεύματος και τη συμμετοχή του Δημοσίου στα κέρδη της Τράπεζας της Ελλάδος. Από τους λοιπούς φόρους παραγωγής εκτιμάται ότι θα εισπραχθούν 1.</w:t>
      </w:r>
      <w:r>
        <w:t>206</w:t>
      </w:r>
      <w:r w:rsidRPr="001F70FF">
        <w:t xml:space="preserve"> εκατ. ευρώ, </w:t>
      </w:r>
      <w:r>
        <w:t xml:space="preserve">αυξημένα κατά 76 εκατ. ευρώ </w:t>
      </w:r>
      <w:r w:rsidRPr="001F70FF">
        <w:t xml:space="preserve">έναντι </w:t>
      </w:r>
      <w:r>
        <w:t xml:space="preserve">του </w:t>
      </w:r>
      <w:r w:rsidRPr="001F70FF">
        <w:t>στόχου.</w:t>
      </w:r>
      <w:r>
        <w:t xml:space="preserve"> Η αύξηση αυτή οφείλεται στο αυξημένο κατά 100 εκατ. ευρώ, σε σχέση με τον</w:t>
      </w:r>
      <w:r w:rsidR="00DD54AB">
        <w:t xml:space="preserve"> αρχικό</w:t>
      </w:r>
      <w:r>
        <w:t xml:space="preserve"> στόχο, ποσό που κατέβαλε η Τράπεζα της Ελλάδος στο Ελληνικό Δημόσιο.</w:t>
      </w:r>
    </w:p>
    <w:p w:rsidR="006F0262" w:rsidRDefault="006F0262" w:rsidP="006F0262">
      <w:pPr>
        <w:ind w:right="-2"/>
        <w:contextualSpacing/>
        <w:jc w:val="both"/>
        <w:rPr>
          <w:sz w:val="18"/>
          <w:szCs w:val="22"/>
        </w:rPr>
      </w:pPr>
    </w:p>
    <w:p w:rsidR="006F0262" w:rsidRPr="001F70FF" w:rsidRDefault="006F0262" w:rsidP="00FE7E83">
      <w:pPr>
        <w:pStyle w:val="ListParagraph"/>
        <w:numPr>
          <w:ilvl w:val="0"/>
          <w:numId w:val="5"/>
        </w:numPr>
        <w:spacing w:after="0" w:line="240" w:lineRule="auto"/>
        <w:ind w:left="284" w:hanging="284"/>
        <w:contextualSpacing w:val="0"/>
        <w:jc w:val="both"/>
        <w:rPr>
          <w:rFonts w:ascii="Times New Roman" w:hAnsi="Times New Roman"/>
          <w:b/>
          <w:i/>
          <w:sz w:val="24"/>
          <w:szCs w:val="24"/>
        </w:rPr>
      </w:pPr>
      <w:r w:rsidRPr="001F70FF">
        <w:rPr>
          <w:rFonts w:ascii="Times New Roman" w:hAnsi="Times New Roman"/>
          <w:b/>
          <w:i/>
          <w:sz w:val="24"/>
          <w:szCs w:val="24"/>
        </w:rPr>
        <w:t>Φόρος εισοδήματος</w:t>
      </w:r>
    </w:p>
    <w:p w:rsidR="006F0262" w:rsidRPr="001F70FF" w:rsidRDefault="006F0262" w:rsidP="006F0262">
      <w:pPr>
        <w:jc w:val="both"/>
      </w:pPr>
    </w:p>
    <w:p w:rsidR="006F0262" w:rsidRPr="009C5744" w:rsidRDefault="006F0262" w:rsidP="006F0262">
      <w:pPr>
        <w:jc w:val="both"/>
      </w:pPr>
      <w:r w:rsidRPr="001F70FF">
        <w:t>Από το</w:t>
      </w:r>
      <w:r>
        <w:t>ν</w:t>
      </w:r>
      <w:r w:rsidRPr="001F70FF">
        <w:t xml:space="preserve"> φόρο εισοδήματος (φυσικών προσώπων, νομικών προσώπων και λοιπών κατηγοριών), αναμένεται να εισπραχθούν έσοδα ύψους </w:t>
      </w:r>
      <w:r>
        <w:t>13.943</w:t>
      </w:r>
      <w:r w:rsidRPr="001F70FF">
        <w:t xml:space="preserve"> εκατ. ευρώ, παρουσιάζοντας μείωση κατά </w:t>
      </w:r>
      <w:r>
        <w:t>2.719 εκατ. ευρώ ή 16,3</w:t>
      </w:r>
      <w:r w:rsidRPr="001F70FF">
        <w:t>%, έναντι του στόχου</w:t>
      </w:r>
      <w:r>
        <w:t xml:space="preserve"> του προϋπολογισμού</w:t>
      </w:r>
      <w:r w:rsidRPr="001F70FF">
        <w:t>. Η μείωση αυτή</w:t>
      </w:r>
      <w:r w:rsidRPr="005A044D">
        <w:t xml:space="preserve"> </w:t>
      </w:r>
      <w:r w:rsidRPr="001F70FF">
        <w:t>προέρχεται από το</w:t>
      </w:r>
      <w:r>
        <w:t>ν</w:t>
      </w:r>
      <w:r w:rsidRPr="001F70FF">
        <w:t xml:space="preserve"> φόρο εισοδήματος φυσικών προσώπων</w:t>
      </w:r>
      <w:r>
        <w:t xml:space="preserve"> κατά 1.357</w:t>
      </w:r>
      <w:r w:rsidRPr="001F70FF">
        <w:t xml:space="preserve"> εκατ. </w:t>
      </w:r>
      <w:r w:rsidR="00EB5E5D">
        <w:t>ε</w:t>
      </w:r>
      <w:r w:rsidRPr="001F70FF">
        <w:t>υρώ</w:t>
      </w:r>
      <w:r w:rsidR="00737E80">
        <w:t xml:space="preserve"> (περιλαμ</w:t>
      </w:r>
      <w:r w:rsidR="00EB5E5D">
        <w:t>βάνον</w:t>
      </w:r>
      <w:r w:rsidR="00737E80">
        <w:t xml:space="preserve">ται </w:t>
      </w:r>
      <w:r w:rsidR="00EB5E5D">
        <w:t xml:space="preserve"> τα μειωμένα έσοδα από την παρακράτηση </w:t>
      </w:r>
      <w:r w:rsidR="00C715BB">
        <w:t xml:space="preserve">του φόρου εισοδήματος των μισθωτών του ιδιωτικού τομέα λόγω μείωσης της οικονομικής δραστηριότητας, </w:t>
      </w:r>
      <w:r w:rsidR="00EB5E5D">
        <w:t>από τη</w:t>
      </w:r>
      <w:r w:rsidR="00C715BB">
        <w:t xml:space="preserve"> </w:t>
      </w:r>
      <w:r w:rsidR="00737E80">
        <w:t>μείωση προκαταβολής φόρου των ελεύθερων επαγγελματιών</w:t>
      </w:r>
      <w:r w:rsidR="00EB5E5D">
        <w:t xml:space="preserve"> και από τις</w:t>
      </w:r>
      <w:r w:rsidR="00C715BB">
        <w:t xml:space="preserve"> αναστολές φορολογικών υποχρεώσεων που αφορούν παρελθόντα οικονομικά έτη</w:t>
      </w:r>
      <w:r w:rsidR="00737E80">
        <w:t>)</w:t>
      </w:r>
      <w:r>
        <w:t>, από τον φόρο εισ</w:t>
      </w:r>
      <w:r w:rsidRPr="001F70FF">
        <w:t xml:space="preserve">οδήματος νομικών προσώπων κατά </w:t>
      </w:r>
      <w:r>
        <w:t>1.209</w:t>
      </w:r>
      <w:r w:rsidRPr="001F70FF">
        <w:t xml:space="preserve"> εκατ. ευρώ</w:t>
      </w:r>
      <w:r>
        <w:t xml:space="preserve"> και από τον φόρο εισοδήματος λοιπών κατηγοριών κατά 153 εκατ. ευρώ.</w:t>
      </w:r>
      <w:r w:rsidRPr="00C2386A">
        <w:t xml:space="preserve"> </w:t>
      </w:r>
    </w:p>
    <w:p w:rsidR="006F0262" w:rsidRDefault="006F0262" w:rsidP="006F0262">
      <w:pPr>
        <w:jc w:val="both"/>
      </w:pPr>
    </w:p>
    <w:p w:rsidR="00EB5E5D" w:rsidRDefault="00EB5E5D" w:rsidP="006F0262">
      <w:pPr>
        <w:jc w:val="both"/>
      </w:pPr>
    </w:p>
    <w:p w:rsidR="00EB5E5D" w:rsidRDefault="00EB5E5D" w:rsidP="006F0262">
      <w:pPr>
        <w:jc w:val="both"/>
      </w:pPr>
    </w:p>
    <w:p w:rsidR="00EB5E5D" w:rsidRPr="009C5744" w:rsidRDefault="00EB5E5D" w:rsidP="006F0262">
      <w:pPr>
        <w:jc w:val="both"/>
      </w:pPr>
    </w:p>
    <w:p w:rsidR="006F0262" w:rsidRPr="001F70FF" w:rsidRDefault="006F0262" w:rsidP="00FE7E83">
      <w:pPr>
        <w:pStyle w:val="ListParagraph"/>
        <w:numPr>
          <w:ilvl w:val="0"/>
          <w:numId w:val="5"/>
        </w:numPr>
        <w:spacing w:after="0" w:line="240" w:lineRule="auto"/>
        <w:ind w:left="284" w:hanging="284"/>
        <w:contextualSpacing w:val="0"/>
        <w:jc w:val="both"/>
        <w:rPr>
          <w:rFonts w:ascii="Times New Roman" w:hAnsi="Times New Roman"/>
          <w:b/>
          <w:i/>
          <w:sz w:val="24"/>
          <w:szCs w:val="24"/>
        </w:rPr>
      </w:pPr>
      <w:r w:rsidRPr="001F70FF">
        <w:rPr>
          <w:rFonts w:ascii="Times New Roman" w:hAnsi="Times New Roman"/>
          <w:b/>
          <w:i/>
          <w:sz w:val="24"/>
          <w:szCs w:val="24"/>
        </w:rPr>
        <w:lastRenderedPageBreak/>
        <w:t>Φόροι κεφαλαίου</w:t>
      </w:r>
    </w:p>
    <w:p w:rsidR="006F0262" w:rsidRPr="001F70FF" w:rsidRDefault="006F0262" w:rsidP="006F0262">
      <w:pPr>
        <w:jc w:val="both"/>
      </w:pPr>
    </w:p>
    <w:p w:rsidR="006F0262" w:rsidRPr="001F70FF" w:rsidRDefault="006F0262" w:rsidP="006F0262">
      <w:pPr>
        <w:jc w:val="both"/>
      </w:pPr>
      <w:r w:rsidRPr="001F70FF">
        <w:t xml:space="preserve">Στην κατηγορία αυτή περιλαμβάνονται οι φόροι και τα τέλη κληρονομιών, δωρεών, γονικών και λοιπών παροχών. Εκτιμώνται έσοδα </w:t>
      </w:r>
      <w:r>
        <w:t>170 εκατ. ευρώ, μειωμένα κατά 103</w:t>
      </w:r>
      <w:r w:rsidRPr="001F70FF">
        <w:t xml:space="preserve"> εκατ. ευρώ, έναντι του στόχου.</w:t>
      </w:r>
    </w:p>
    <w:p w:rsidR="006F0262" w:rsidRDefault="006F0262" w:rsidP="006F0262">
      <w:pPr>
        <w:jc w:val="both"/>
      </w:pPr>
    </w:p>
    <w:p w:rsidR="006F0262" w:rsidRPr="001F70FF" w:rsidRDefault="006F0262" w:rsidP="00FE7E83">
      <w:pPr>
        <w:pStyle w:val="ListParagraph"/>
        <w:numPr>
          <w:ilvl w:val="0"/>
          <w:numId w:val="5"/>
        </w:numPr>
        <w:spacing w:after="0" w:line="240" w:lineRule="auto"/>
        <w:ind w:left="284" w:hanging="284"/>
        <w:contextualSpacing w:val="0"/>
        <w:jc w:val="both"/>
        <w:rPr>
          <w:rFonts w:ascii="Times New Roman" w:hAnsi="Times New Roman"/>
          <w:b/>
          <w:i/>
          <w:sz w:val="24"/>
          <w:szCs w:val="24"/>
        </w:rPr>
      </w:pPr>
      <w:r w:rsidRPr="001F70FF">
        <w:rPr>
          <w:rFonts w:ascii="Times New Roman" w:hAnsi="Times New Roman"/>
          <w:b/>
          <w:i/>
          <w:sz w:val="24"/>
          <w:szCs w:val="24"/>
        </w:rPr>
        <w:t>Λοιποί τρέχοντες φόροι</w:t>
      </w:r>
    </w:p>
    <w:p w:rsidR="006F0262" w:rsidRPr="001F70FF" w:rsidRDefault="006F0262" w:rsidP="006F0262">
      <w:pPr>
        <w:jc w:val="both"/>
        <w:rPr>
          <w:b/>
          <w:i/>
        </w:rPr>
      </w:pPr>
    </w:p>
    <w:p w:rsidR="006F0262" w:rsidRPr="001F70FF" w:rsidRDefault="006F0262" w:rsidP="006F0262">
      <w:pPr>
        <w:jc w:val="both"/>
      </w:pPr>
      <w:r w:rsidRPr="001F70FF">
        <w:t>Η κατηγορία αυτή περιλαμβάνει κυρίως τα τέλη κυκλοφορίας οχημάτων και τα διάφορα μη ταξινομημένα φορολογικά έσοδα. Τα έσοδα από τους λοιπούς τρέχοντες φόρους αναμένεται να ανέλθουν στο ποσό των 2.</w:t>
      </w:r>
      <w:r>
        <w:t>407 εκατ. ευρώ, αυξη</w:t>
      </w:r>
      <w:r w:rsidRPr="001F70FF">
        <w:t xml:space="preserve">μένα κατά </w:t>
      </w:r>
      <w:r>
        <w:t>15 εκατ. ευρώ, έναντι του στόχου.</w:t>
      </w:r>
    </w:p>
    <w:p w:rsidR="006F0262" w:rsidRPr="001F70FF" w:rsidRDefault="006F0262" w:rsidP="006F0262">
      <w:pPr>
        <w:jc w:val="both"/>
        <w:rPr>
          <w:rFonts w:ascii="Arial Narrow" w:hAnsi="Arial Narrow"/>
          <w:b/>
          <w:i/>
        </w:rPr>
      </w:pPr>
    </w:p>
    <w:p w:rsidR="006F0262" w:rsidRPr="001F70FF" w:rsidRDefault="006F0262" w:rsidP="006F0262">
      <w:pPr>
        <w:jc w:val="both"/>
        <w:rPr>
          <w:rFonts w:ascii="Arial Narrow" w:hAnsi="Arial Narrow"/>
          <w:b/>
          <w:i/>
          <w:sz w:val="22"/>
        </w:rPr>
      </w:pPr>
      <w:r w:rsidRPr="001F70FF">
        <w:rPr>
          <w:rFonts w:ascii="Arial Narrow" w:hAnsi="Arial Narrow"/>
          <w:b/>
          <w:i/>
          <w:sz w:val="22"/>
        </w:rPr>
        <w:t>Κοινωνικές εισφορές</w:t>
      </w:r>
    </w:p>
    <w:p w:rsidR="006F0262" w:rsidRPr="001F70FF" w:rsidRDefault="006F0262" w:rsidP="006F0262">
      <w:pPr>
        <w:jc w:val="both"/>
      </w:pPr>
    </w:p>
    <w:p w:rsidR="006F0262" w:rsidRPr="001F70FF" w:rsidRDefault="006F0262" w:rsidP="006F0262">
      <w:pPr>
        <w:jc w:val="both"/>
      </w:pPr>
      <w:r w:rsidRPr="001F70FF">
        <w:t xml:space="preserve">Η κατηγορία αυτή περιλαμβάνει κυρίως τις εισφορές των εργαζομένων για παροχές υγείας από το Δημόσιο. Εκτιμώνται έσοδα 54 εκατ. ευρώ, </w:t>
      </w:r>
      <w:r w:rsidR="00186B22">
        <w:t>πολύ κοντά στον αρχικό στόχο</w:t>
      </w:r>
      <w:r w:rsidRPr="001F70FF">
        <w:t>.</w:t>
      </w:r>
    </w:p>
    <w:p w:rsidR="006F0262" w:rsidRPr="001F70FF" w:rsidRDefault="006F0262" w:rsidP="006F0262">
      <w:pPr>
        <w:jc w:val="both"/>
        <w:rPr>
          <w:rFonts w:ascii="Arial Narrow" w:hAnsi="Arial Narrow"/>
          <w:b/>
          <w:i/>
        </w:rPr>
      </w:pPr>
    </w:p>
    <w:p w:rsidR="006F0262" w:rsidRPr="001F70FF" w:rsidRDefault="006F0262" w:rsidP="006F0262">
      <w:pPr>
        <w:jc w:val="both"/>
        <w:rPr>
          <w:rFonts w:ascii="Arial Narrow" w:hAnsi="Arial Narrow"/>
          <w:b/>
          <w:i/>
          <w:sz w:val="22"/>
        </w:rPr>
      </w:pPr>
      <w:r w:rsidRPr="001F70FF">
        <w:rPr>
          <w:rFonts w:ascii="Arial Narrow" w:hAnsi="Arial Narrow"/>
          <w:b/>
          <w:i/>
          <w:sz w:val="22"/>
        </w:rPr>
        <w:t>Μεταβιβάσεις</w:t>
      </w:r>
    </w:p>
    <w:p w:rsidR="006F0262" w:rsidRPr="001F70FF" w:rsidRDefault="006F0262" w:rsidP="006F0262">
      <w:pPr>
        <w:jc w:val="both"/>
      </w:pPr>
    </w:p>
    <w:p w:rsidR="006F0262" w:rsidRDefault="006F0262" w:rsidP="006F0262">
      <w:pPr>
        <w:jc w:val="both"/>
      </w:pPr>
      <w:r w:rsidRPr="001F70FF">
        <w:t>Σε αυτή την κατηγορία περιλαμβάνονται κυρίως</w:t>
      </w:r>
      <w:r>
        <w:t xml:space="preserve"> τα έσοδα από</w:t>
      </w:r>
      <w:r w:rsidRPr="001F70FF">
        <w:t>:</w:t>
      </w:r>
    </w:p>
    <w:p w:rsidR="006F0262" w:rsidRPr="001F70FF" w:rsidRDefault="006F0262" w:rsidP="006F0262">
      <w:pPr>
        <w:jc w:val="both"/>
      </w:pPr>
    </w:p>
    <w:p w:rsidR="006F0262" w:rsidRDefault="006F0262"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1F70FF">
        <w:rPr>
          <w:rFonts w:ascii="Times New Roman" w:hAnsi="Times New Roman"/>
          <w:sz w:val="24"/>
          <w:szCs w:val="24"/>
        </w:rPr>
        <w:t xml:space="preserve">το συγχρηματοδοτούμενο σκέλος του Προγράμματος Δημοσίων Επενδύσεων που αναμένεται να ανέλθει σε </w:t>
      </w:r>
      <w:r>
        <w:rPr>
          <w:rFonts w:ascii="Times New Roman" w:hAnsi="Times New Roman"/>
          <w:sz w:val="24"/>
          <w:szCs w:val="24"/>
        </w:rPr>
        <w:t>5.580</w:t>
      </w:r>
      <w:r w:rsidRPr="001F70FF">
        <w:rPr>
          <w:rFonts w:ascii="Times New Roman" w:hAnsi="Times New Roman"/>
          <w:sz w:val="24"/>
          <w:szCs w:val="24"/>
        </w:rPr>
        <w:t xml:space="preserve"> εκατ. ευρώ, καθώς και μέρος του εθνικού σκέλους του </w:t>
      </w:r>
      <w:r>
        <w:rPr>
          <w:rFonts w:ascii="Times New Roman" w:hAnsi="Times New Roman"/>
          <w:sz w:val="24"/>
          <w:szCs w:val="24"/>
        </w:rPr>
        <w:t>Προγράμματος Δημοσίων Επενδύσεων (</w:t>
      </w:r>
      <w:r w:rsidRPr="001F70FF">
        <w:rPr>
          <w:rFonts w:ascii="Times New Roman" w:hAnsi="Times New Roman"/>
          <w:sz w:val="24"/>
          <w:szCs w:val="24"/>
        </w:rPr>
        <w:t>ΠΔΕ</w:t>
      </w:r>
      <w:r>
        <w:rPr>
          <w:rFonts w:ascii="Times New Roman" w:hAnsi="Times New Roman"/>
          <w:sz w:val="24"/>
          <w:szCs w:val="24"/>
        </w:rPr>
        <w:t>)</w:t>
      </w:r>
      <w:r w:rsidRPr="001F70FF">
        <w:rPr>
          <w:rFonts w:ascii="Times New Roman" w:hAnsi="Times New Roman"/>
          <w:sz w:val="24"/>
          <w:szCs w:val="24"/>
        </w:rPr>
        <w:t>, ύψους 30 εκατ. ευρώ,</w:t>
      </w:r>
    </w:p>
    <w:p w:rsidR="006F0262" w:rsidRPr="001F70FF" w:rsidRDefault="006F0262" w:rsidP="006F0262">
      <w:pPr>
        <w:pStyle w:val="ListParagraph"/>
        <w:spacing w:after="0" w:line="240" w:lineRule="auto"/>
        <w:ind w:left="425"/>
        <w:contextualSpacing w:val="0"/>
        <w:jc w:val="both"/>
        <w:rPr>
          <w:rFonts w:ascii="Times New Roman" w:hAnsi="Times New Roman"/>
          <w:sz w:val="24"/>
          <w:szCs w:val="24"/>
        </w:rPr>
      </w:pPr>
    </w:p>
    <w:p w:rsidR="006F0262" w:rsidRPr="001F70FF" w:rsidRDefault="006F0262"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1F70FF">
        <w:rPr>
          <w:rFonts w:ascii="Times New Roman" w:hAnsi="Times New Roman"/>
          <w:sz w:val="24"/>
          <w:szCs w:val="24"/>
        </w:rPr>
        <w:t xml:space="preserve">τη μεταφορά αποδόσεων λόγω της διακράτησης ομολόγων του Ελληνικού Δημοσίου στα χαρτοφυλάκια των Κεντρικών Τραπεζών του </w:t>
      </w:r>
      <w:proofErr w:type="spellStart"/>
      <w:r w:rsidRPr="001F70FF">
        <w:rPr>
          <w:rFonts w:ascii="Times New Roman" w:hAnsi="Times New Roman"/>
          <w:sz w:val="24"/>
          <w:szCs w:val="24"/>
        </w:rPr>
        <w:t>Ευρωσυστήματος</w:t>
      </w:r>
      <w:proofErr w:type="spellEnd"/>
      <w:r w:rsidRPr="001F70FF">
        <w:rPr>
          <w:rFonts w:ascii="Times New Roman" w:hAnsi="Times New Roman"/>
          <w:sz w:val="24"/>
          <w:szCs w:val="24"/>
        </w:rPr>
        <w:t xml:space="preserve"> (</w:t>
      </w:r>
      <w:proofErr w:type="spellStart"/>
      <w:r w:rsidRPr="001F70FF">
        <w:rPr>
          <w:rFonts w:ascii="Times New Roman" w:hAnsi="Times New Roman"/>
          <w:sz w:val="24"/>
          <w:szCs w:val="24"/>
        </w:rPr>
        <w:t>ANFAs</w:t>
      </w:r>
      <w:proofErr w:type="spellEnd"/>
      <w:r w:rsidRPr="001F70FF">
        <w:rPr>
          <w:rFonts w:ascii="Times New Roman" w:hAnsi="Times New Roman"/>
          <w:sz w:val="24"/>
          <w:szCs w:val="24"/>
        </w:rPr>
        <w:t>) και από το Π</w:t>
      </w:r>
      <w:r w:rsidR="00FC5D63">
        <w:rPr>
          <w:rFonts w:ascii="Times New Roman" w:hAnsi="Times New Roman"/>
          <w:sz w:val="24"/>
          <w:szCs w:val="24"/>
        </w:rPr>
        <w:t>ρόγραμμα Αγοράς Ομολόγων (</w:t>
      </w:r>
      <w:proofErr w:type="spellStart"/>
      <w:r w:rsidR="00FC5D63">
        <w:rPr>
          <w:rFonts w:ascii="Times New Roman" w:hAnsi="Times New Roman"/>
          <w:sz w:val="24"/>
          <w:szCs w:val="24"/>
        </w:rPr>
        <w:t>SMPs</w:t>
      </w:r>
      <w:proofErr w:type="spellEnd"/>
      <w:r w:rsidR="00FC5D63">
        <w:rPr>
          <w:rFonts w:ascii="Times New Roman" w:hAnsi="Times New Roman"/>
          <w:sz w:val="24"/>
          <w:szCs w:val="24"/>
        </w:rPr>
        <w:t>)</w:t>
      </w:r>
      <w:r w:rsidRPr="001F70FF">
        <w:rPr>
          <w:rFonts w:ascii="Times New Roman" w:hAnsi="Times New Roman"/>
          <w:sz w:val="24"/>
          <w:szCs w:val="24"/>
        </w:rPr>
        <w:t xml:space="preserve"> της Ευρωπαϊκής Κεντρικής Τράπεζας (ΕΚΤ), </w:t>
      </w:r>
      <w:r w:rsidR="00F77C18">
        <w:rPr>
          <w:rFonts w:ascii="Times New Roman" w:hAnsi="Times New Roman"/>
          <w:sz w:val="24"/>
          <w:szCs w:val="24"/>
        </w:rPr>
        <w:t xml:space="preserve">καθώς και επιστροφή τόκων </w:t>
      </w:r>
      <w:r w:rsidR="00F77C18">
        <w:rPr>
          <w:rFonts w:ascii="Times New Roman" w:hAnsi="Times New Roman"/>
          <w:sz w:val="24"/>
          <w:szCs w:val="24"/>
          <w:lang w:val="en-US"/>
        </w:rPr>
        <w:t>EFSF</w:t>
      </w:r>
      <w:r w:rsidR="00F77C18" w:rsidRPr="00F77C18">
        <w:rPr>
          <w:rFonts w:ascii="Times New Roman" w:hAnsi="Times New Roman"/>
          <w:sz w:val="24"/>
          <w:szCs w:val="24"/>
        </w:rPr>
        <w:t xml:space="preserve"> </w:t>
      </w:r>
      <w:r w:rsidR="00F77C18">
        <w:rPr>
          <w:rFonts w:ascii="Times New Roman" w:hAnsi="Times New Roman"/>
          <w:sz w:val="24"/>
          <w:szCs w:val="24"/>
        </w:rPr>
        <w:t xml:space="preserve">συνολικού </w:t>
      </w:r>
      <w:r w:rsidRPr="001F70FF">
        <w:rPr>
          <w:rFonts w:ascii="Times New Roman" w:hAnsi="Times New Roman"/>
          <w:sz w:val="24"/>
          <w:szCs w:val="24"/>
        </w:rPr>
        <w:t xml:space="preserve">ύψους </w:t>
      </w:r>
      <w:r w:rsidR="00F77C18">
        <w:rPr>
          <w:rFonts w:ascii="Times New Roman" w:hAnsi="Times New Roman"/>
          <w:sz w:val="24"/>
          <w:szCs w:val="24"/>
        </w:rPr>
        <w:t>99</w:t>
      </w:r>
      <w:r>
        <w:rPr>
          <w:rFonts w:ascii="Times New Roman" w:hAnsi="Times New Roman"/>
          <w:sz w:val="24"/>
          <w:szCs w:val="24"/>
        </w:rPr>
        <w:t>9</w:t>
      </w:r>
      <w:r w:rsidRPr="001F70FF">
        <w:rPr>
          <w:rFonts w:ascii="Times New Roman" w:hAnsi="Times New Roman"/>
          <w:sz w:val="24"/>
          <w:szCs w:val="24"/>
        </w:rPr>
        <w:t xml:space="preserve"> εκατ. ευρώ. Σημειώνεται ότι τα έσοδα αυτά κατατίθενται απευθείας στον ειδικό λογαριασμό εξυπηρέτησης του δημόσιου χρέους (</w:t>
      </w:r>
      <w:proofErr w:type="spellStart"/>
      <w:r w:rsidRPr="001F70FF">
        <w:rPr>
          <w:rFonts w:ascii="Times New Roman" w:hAnsi="Times New Roman"/>
          <w:sz w:val="24"/>
          <w:szCs w:val="24"/>
        </w:rPr>
        <w:t>Segregated</w:t>
      </w:r>
      <w:proofErr w:type="spellEnd"/>
      <w:r w:rsidRPr="001F70FF">
        <w:rPr>
          <w:rFonts w:ascii="Times New Roman" w:hAnsi="Times New Roman"/>
          <w:sz w:val="24"/>
          <w:szCs w:val="24"/>
        </w:rPr>
        <w:t xml:space="preserve"> </w:t>
      </w:r>
      <w:r w:rsidRPr="001F70FF">
        <w:rPr>
          <w:rFonts w:ascii="Times New Roman" w:hAnsi="Times New Roman"/>
          <w:sz w:val="24"/>
          <w:szCs w:val="24"/>
          <w:lang w:val="en-US"/>
        </w:rPr>
        <w:t>A</w:t>
      </w:r>
      <w:proofErr w:type="spellStart"/>
      <w:r w:rsidRPr="001F70FF">
        <w:rPr>
          <w:rFonts w:ascii="Times New Roman" w:hAnsi="Times New Roman"/>
          <w:sz w:val="24"/>
          <w:szCs w:val="24"/>
        </w:rPr>
        <w:t>ccount</w:t>
      </w:r>
      <w:proofErr w:type="spellEnd"/>
      <w:r w:rsidRPr="001F70FF">
        <w:rPr>
          <w:rFonts w:ascii="Times New Roman" w:hAnsi="Times New Roman"/>
          <w:sz w:val="24"/>
          <w:szCs w:val="24"/>
        </w:rPr>
        <w:t>) και δεν υπολογίζονται στο αποτέλεσμα της Γενικής Κυβέρνησης, σύμφωνα με τους όρους της Ενισχυμένης Επ</w:t>
      </w:r>
      <w:r>
        <w:rPr>
          <w:rFonts w:ascii="Times New Roman" w:hAnsi="Times New Roman"/>
          <w:sz w:val="24"/>
          <w:szCs w:val="24"/>
        </w:rPr>
        <w:t>οπτείας.</w:t>
      </w:r>
    </w:p>
    <w:p w:rsidR="006F0262" w:rsidRPr="001F70FF" w:rsidRDefault="006F0262" w:rsidP="006F0262">
      <w:pPr>
        <w:pStyle w:val="ListParagraph"/>
        <w:spacing w:after="0" w:line="240" w:lineRule="auto"/>
        <w:ind w:left="425"/>
        <w:contextualSpacing w:val="0"/>
        <w:jc w:val="both"/>
        <w:rPr>
          <w:rFonts w:ascii="Times New Roman" w:hAnsi="Times New Roman"/>
          <w:sz w:val="24"/>
          <w:szCs w:val="24"/>
        </w:rPr>
      </w:pPr>
    </w:p>
    <w:p w:rsidR="006F0262" w:rsidRPr="001F70FF" w:rsidRDefault="006F0262" w:rsidP="006F0262">
      <w:pPr>
        <w:jc w:val="both"/>
      </w:pPr>
      <w:r w:rsidRPr="001F70FF">
        <w:t xml:space="preserve">Το σύνολο των εσόδων από μεταβιβάσεις αναμένεται να ανέλθει στα </w:t>
      </w:r>
      <w:r>
        <w:t>6.803</w:t>
      </w:r>
      <w:r w:rsidRPr="001F70FF">
        <w:t xml:space="preserve"> εκατ. ευρώ, αυξημένα κατά </w:t>
      </w:r>
      <w:r>
        <w:t>2.211</w:t>
      </w:r>
      <w:r w:rsidRPr="001F70FF">
        <w:t xml:space="preserve"> εκατ. ευρώ έναντι του στόχου, κυρίως λόγω </w:t>
      </w:r>
      <w:r>
        <w:t xml:space="preserve">των αυξημένων εσόδων </w:t>
      </w:r>
      <w:r w:rsidR="00FC5D63">
        <w:t xml:space="preserve">του </w:t>
      </w:r>
      <w:r>
        <w:t xml:space="preserve">ΠΔΕ κατά 1.383 εκατ. ευρώ, καθώς και </w:t>
      </w:r>
      <w:r w:rsidRPr="001F70FF">
        <w:t>της είσπραξης εσόδων από ANFA</w:t>
      </w:r>
      <w:r w:rsidRPr="001F70FF">
        <w:rPr>
          <w:lang w:val="en-US"/>
        </w:rPr>
        <w:t>s</w:t>
      </w:r>
      <w:r w:rsidRPr="001F70FF">
        <w:t xml:space="preserve"> και </w:t>
      </w:r>
      <w:r w:rsidRPr="001F70FF">
        <w:rPr>
          <w:lang w:val="en-US"/>
        </w:rPr>
        <w:t>SMPs</w:t>
      </w:r>
      <w:r w:rsidR="001E4D5B">
        <w:t xml:space="preserve"> και από επιστροφή τόκων </w:t>
      </w:r>
      <w:r w:rsidR="001E4D5B">
        <w:rPr>
          <w:lang w:val="en-US"/>
        </w:rPr>
        <w:t>EFSF</w:t>
      </w:r>
      <w:r w:rsidR="001E4D5B" w:rsidRPr="001E4D5B">
        <w:t xml:space="preserve"> </w:t>
      </w:r>
      <w:r w:rsidRPr="001F70FF">
        <w:t>ύ</w:t>
      </w:r>
      <w:r w:rsidR="001E4D5B">
        <w:t xml:space="preserve">ψους </w:t>
      </w:r>
      <w:r w:rsidR="001E4D5B" w:rsidRPr="001E4D5B">
        <w:t>7</w:t>
      </w:r>
      <w:r w:rsidR="001E4D5B">
        <w:t>4</w:t>
      </w:r>
      <w:r w:rsidR="001E4D5B" w:rsidRPr="00261D58">
        <w:t>8</w:t>
      </w:r>
      <w:r w:rsidRPr="001F70FF">
        <w:t xml:space="preserve"> εκατ. ευρώ, τα οποία</w:t>
      </w:r>
      <w:r>
        <w:t xml:space="preserve"> </w:t>
      </w:r>
      <w:r w:rsidRPr="001F70FF">
        <w:t>δεν είχαν πρ</w:t>
      </w:r>
      <w:r>
        <w:t xml:space="preserve">οβλεφθεί στον </w:t>
      </w:r>
      <w:r w:rsidR="00186B22">
        <w:t xml:space="preserve">αρχικό </w:t>
      </w:r>
      <w:r>
        <w:t>Προϋπολογισμό 2020.</w:t>
      </w:r>
    </w:p>
    <w:p w:rsidR="006F0262" w:rsidRPr="001F70FF" w:rsidRDefault="006F0262" w:rsidP="006F0262">
      <w:pPr>
        <w:jc w:val="both"/>
        <w:rPr>
          <w:rFonts w:ascii="Arial Narrow" w:hAnsi="Arial Narrow"/>
          <w:b/>
          <w:i/>
        </w:rPr>
      </w:pPr>
    </w:p>
    <w:p w:rsidR="006F0262" w:rsidRPr="001F70FF" w:rsidRDefault="006F0262" w:rsidP="006F0262">
      <w:pPr>
        <w:jc w:val="both"/>
        <w:rPr>
          <w:rFonts w:ascii="Arial Narrow" w:hAnsi="Arial Narrow"/>
          <w:b/>
          <w:i/>
          <w:sz w:val="22"/>
        </w:rPr>
      </w:pPr>
      <w:r w:rsidRPr="001F70FF">
        <w:rPr>
          <w:rFonts w:ascii="Arial Narrow" w:hAnsi="Arial Narrow"/>
          <w:b/>
          <w:i/>
          <w:sz w:val="22"/>
        </w:rPr>
        <w:t>Πωλήσεις αγαθών και υπηρεσιών</w:t>
      </w:r>
    </w:p>
    <w:p w:rsidR="006F0262" w:rsidRPr="001F70FF" w:rsidRDefault="006F0262" w:rsidP="006F0262">
      <w:pPr>
        <w:jc w:val="both"/>
      </w:pPr>
    </w:p>
    <w:p w:rsidR="006F0262" w:rsidRPr="001F70FF" w:rsidRDefault="006F0262" w:rsidP="006F0262">
      <w:pPr>
        <w:jc w:val="both"/>
      </w:pPr>
      <w:r w:rsidRPr="001F70FF">
        <w:t>Η κατηγορία αυτή περιλαμβάνει κυρίως τα έσοδα από παράβολα, μισθώματα κτιρίων και υποδομών</w:t>
      </w:r>
      <w:r w:rsidR="00186B22">
        <w:t>,</w:t>
      </w:r>
      <w:r w:rsidR="00FC5D63">
        <w:t xml:space="preserve"> καθώς</w:t>
      </w:r>
      <w:r w:rsidRPr="001F70FF">
        <w:t xml:space="preserve"> και</w:t>
      </w:r>
      <w:r w:rsidR="00FC5D63">
        <w:t xml:space="preserve"> από</w:t>
      </w:r>
      <w:r w:rsidRPr="001F70FF">
        <w:t xml:space="preserve"> προμήθειες λόγω παροχής της εγγύησης του Ελληνικού Δημοσίου. Αναμένεται να εισπραχθούν έσοδα ύψους </w:t>
      </w:r>
      <w:r>
        <w:t>556</w:t>
      </w:r>
      <w:r w:rsidRPr="001F70FF">
        <w:t xml:space="preserve"> εκατ. ευρώ, μειωμένα κατά </w:t>
      </w:r>
      <w:r>
        <w:t>131</w:t>
      </w:r>
      <w:r w:rsidRPr="001F70FF">
        <w:t xml:space="preserve"> εκατ. ευρώ έναντι του στόχου του Προϋπολογισμού 20</w:t>
      </w:r>
      <w:r>
        <w:t>20</w:t>
      </w:r>
      <w:r w:rsidRPr="001F70FF">
        <w:t>.</w:t>
      </w:r>
    </w:p>
    <w:p w:rsidR="006F0262" w:rsidRDefault="006F0262" w:rsidP="006F0262">
      <w:pPr>
        <w:jc w:val="both"/>
        <w:rPr>
          <w:rFonts w:ascii="Arial Narrow" w:hAnsi="Arial Narrow"/>
          <w:b/>
          <w:i/>
        </w:rPr>
      </w:pPr>
    </w:p>
    <w:p w:rsidR="00EB5E5D" w:rsidRDefault="00EB5E5D" w:rsidP="006F0262">
      <w:pPr>
        <w:jc w:val="both"/>
        <w:rPr>
          <w:rFonts w:ascii="Arial Narrow" w:hAnsi="Arial Narrow"/>
          <w:b/>
          <w:i/>
        </w:rPr>
      </w:pPr>
    </w:p>
    <w:p w:rsidR="00EB5E5D" w:rsidRDefault="00EB5E5D" w:rsidP="006F0262">
      <w:pPr>
        <w:jc w:val="both"/>
        <w:rPr>
          <w:rFonts w:ascii="Arial Narrow" w:hAnsi="Arial Narrow"/>
          <w:b/>
          <w:i/>
        </w:rPr>
      </w:pPr>
    </w:p>
    <w:p w:rsidR="00EB5E5D" w:rsidRPr="001F70FF" w:rsidRDefault="00EB5E5D" w:rsidP="006F0262">
      <w:pPr>
        <w:jc w:val="both"/>
        <w:rPr>
          <w:rFonts w:ascii="Arial Narrow" w:hAnsi="Arial Narrow"/>
          <w:b/>
          <w:i/>
        </w:rPr>
      </w:pPr>
    </w:p>
    <w:p w:rsidR="006F0262" w:rsidRPr="001F70FF" w:rsidRDefault="006F0262" w:rsidP="006F0262">
      <w:pPr>
        <w:jc w:val="both"/>
        <w:rPr>
          <w:rFonts w:ascii="Arial Narrow" w:hAnsi="Arial Narrow"/>
          <w:b/>
          <w:i/>
          <w:sz w:val="22"/>
        </w:rPr>
      </w:pPr>
      <w:r w:rsidRPr="001F70FF">
        <w:rPr>
          <w:rFonts w:ascii="Arial Narrow" w:hAnsi="Arial Narrow"/>
          <w:b/>
          <w:i/>
          <w:sz w:val="22"/>
        </w:rPr>
        <w:lastRenderedPageBreak/>
        <w:t>Λοιπά τρέχοντα έσοδα</w:t>
      </w:r>
    </w:p>
    <w:p w:rsidR="006F0262" w:rsidRPr="001F70FF" w:rsidRDefault="006F0262" w:rsidP="006F0262">
      <w:pPr>
        <w:jc w:val="both"/>
      </w:pPr>
    </w:p>
    <w:p w:rsidR="006F0262" w:rsidRPr="001F70FF" w:rsidRDefault="006F0262" w:rsidP="006F0262">
      <w:pPr>
        <w:jc w:val="both"/>
      </w:pPr>
      <w:r w:rsidRPr="001F70FF">
        <w:t>Η κατηγορία αυτή περιλαμβάνει διάφορες κατηγορίες εσόδων</w:t>
      </w:r>
      <w:r>
        <w:t>,</w:t>
      </w:r>
      <w:r w:rsidRPr="001F70FF">
        <w:t xml:space="preserve"> με κυριότερες τα μερίσματα από τη συμμετοχή του Δημοσίου στο μετοχικό κεφάλαιο διαφόρων εταιρειών, </w:t>
      </w:r>
      <w:r>
        <w:t xml:space="preserve">τους </w:t>
      </w:r>
      <w:r w:rsidRPr="001F70FF">
        <w:t>τόκο</w:t>
      </w:r>
      <w:r>
        <w:t>υς</w:t>
      </w:r>
      <w:r w:rsidRPr="001F70FF">
        <w:t xml:space="preserve"> από ομόλογα πο</w:t>
      </w:r>
      <w:r>
        <w:t>υ κατέχει το Ελληνικό Δημόσιο, τ</w:t>
      </w:r>
      <w:r w:rsidRPr="001F70FF">
        <w:t>ι</w:t>
      </w:r>
      <w:r>
        <w:t>ς</w:t>
      </w:r>
      <w:r w:rsidRPr="001F70FF">
        <w:t xml:space="preserve"> διάφορες κατηγορίες προστίμων και προσαυξήσεων, το μεγαλύτερο μέρος του εθνι</w:t>
      </w:r>
      <w:r>
        <w:t>κού σκέλους του ΠΔΕ, καθώς και τ</w:t>
      </w:r>
      <w:r w:rsidRPr="001F70FF">
        <w:t>ι</w:t>
      </w:r>
      <w:r>
        <w:t>ς</w:t>
      </w:r>
      <w:r w:rsidRPr="001F70FF">
        <w:t xml:space="preserve"> επιστροφές ιδίων πόρων από την ΕΕ. Τα λοιπά τρέχοντα έσοδα αναμένεται να διαμορφωθούν στα 2.</w:t>
      </w:r>
      <w:r>
        <w:t>741</w:t>
      </w:r>
      <w:r w:rsidRPr="001F70FF">
        <w:t xml:space="preserve"> εκατ. ευρώ, αυξημένα κατά </w:t>
      </w:r>
      <w:r>
        <w:t>935</w:t>
      </w:r>
      <w:r w:rsidRPr="001F70FF">
        <w:t xml:space="preserve"> εκατ. ευρώ έναντι του </w:t>
      </w:r>
      <w:r>
        <w:t>στόχου του Προϋπολογισμού</w:t>
      </w:r>
      <w:r w:rsidRPr="001F70FF">
        <w:t>. Η αύξηση αυτή οφείλεται κατά κ</w:t>
      </w:r>
      <w:r>
        <w:t>ύριο λόγο στα αυξημένα έσοδα</w:t>
      </w:r>
      <w:r w:rsidRPr="001F70FF">
        <w:t>:</w:t>
      </w:r>
    </w:p>
    <w:p w:rsidR="006F0262" w:rsidRPr="001F70FF" w:rsidRDefault="006F0262" w:rsidP="006F0262">
      <w:pPr>
        <w:jc w:val="both"/>
      </w:pPr>
    </w:p>
    <w:p w:rsidR="006F0262" w:rsidRPr="001F70FF" w:rsidRDefault="006F0262"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από </w:t>
      </w:r>
      <w:r w:rsidRPr="001F70FF">
        <w:rPr>
          <w:rFonts w:ascii="Times New Roman" w:hAnsi="Times New Roman"/>
          <w:sz w:val="24"/>
          <w:szCs w:val="24"/>
        </w:rPr>
        <w:t xml:space="preserve">μερίσματα φορέων του Δημοσίου κατά </w:t>
      </w:r>
      <w:r>
        <w:rPr>
          <w:rFonts w:ascii="Times New Roman" w:hAnsi="Times New Roman"/>
          <w:sz w:val="24"/>
          <w:szCs w:val="24"/>
        </w:rPr>
        <w:t>150</w:t>
      </w:r>
      <w:r w:rsidRPr="001F70FF">
        <w:rPr>
          <w:rFonts w:ascii="Times New Roman" w:hAnsi="Times New Roman"/>
          <w:sz w:val="24"/>
          <w:szCs w:val="24"/>
        </w:rPr>
        <w:t xml:space="preserve"> εκατ. ευρώ</w:t>
      </w:r>
      <w:r>
        <w:rPr>
          <w:rFonts w:ascii="Times New Roman" w:hAnsi="Times New Roman"/>
          <w:sz w:val="24"/>
          <w:szCs w:val="24"/>
        </w:rPr>
        <w:t>,</w:t>
      </w:r>
    </w:p>
    <w:p w:rsidR="006F0262" w:rsidRPr="001F70FF" w:rsidRDefault="006F0262"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1F70FF">
        <w:rPr>
          <w:rFonts w:ascii="Times New Roman" w:hAnsi="Times New Roman"/>
          <w:sz w:val="24"/>
          <w:szCs w:val="24"/>
        </w:rPr>
        <w:t>επ</w:t>
      </w:r>
      <w:r w:rsidR="00505CCB">
        <w:rPr>
          <w:rFonts w:ascii="Times New Roman" w:hAnsi="Times New Roman"/>
          <w:sz w:val="24"/>
          <w:szCs w:val="24"/>
        </w:rPr>
        <w:t>ιστροφές ιδίων πόρων από την ΕΕ</w:t>
      </w:r>
      <w:r w:rsidRPr="001F70FF">
        <w:rPr>
          <w:rFonts w:ascii="Times New Roman" w:hAnsi="Times New Roman"/>
          <w:sz w:val="24"/>
          <w:szCs w:val="24"/>
        </w:rPr>
        <w:t xml:space="preserve"> κατά </w:t>
      </w:r>
      <w:r>
        <w:rPr>
          <w:rFonts w:ascii="Times New Roman" w:hAnsi="Times New Roman"/>
          <w:sz w:val="24"/>
          <w:szCs w:val="24"/>
        </w:rPr>
        <w:t>40</w:t>
      </w:r>
      <w:r w:rsidR="00505CCB">
        <w:rPr>
          <w:rFonts w:ascii="Times New Roman" w:hAnsi="Times New Roman"/>
          <w:sz w:val="24"/>
          <w:szCs w:val="24"/>
        </w:rPr>
        <w:t xml:space="preserve"> εκατ. ευρώ και</w:t>
      </w:r>
    </w:p>
    <w:p w:rsidR="006F0262" w:rsidRPr="001F70FF" w:rsidRDefault="00505CCB"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του εθνικού σκέλους του ΠΔΕ</w:t>
      </w:r>
      <w:r w:rsidR="006F0262" w:rsidRPr="001F70FF">
        <w:rPr>
          <w:rFonts w:ascii="Times New Roman" w:hAnsi="Times New Roman"/>
          <w:sz w:val="24"/>
          <w:szCs w:val="24"/>
        </w:rPr>
        <w:t xml:space="preserve"> κατά </w:t>
      </w:r>
      <w:r w:rsidR="006F0262">
        <w:rPr>
          <w:rFonts w:ascii="Times New Roman" w:hAnsi="Times New Roman"/>
          <w:sz w:val="24"/>
          <w:szCs w:val="24"/>
        </w:rPr>
        <w:t>747</w:t>
      </w:r>
      <w:r w:rsidR="006F0262" w:rsidRPr="001F70FF">
        <w:rPr>
          <w:rFonts w:ascii="Times New Roman" w:hAnsi="Times New Roman"/>
          <w:sz w:val="24"/>
          <w:szCs w:val="24"/>
        </w:rPr>
        <w:t xml:space="preserve"> εκατ. ευρώ.</w:t>
      </w:r>
    </w:p>
    <w:p w:rsidR="006F0262" w:rsidRPr="001F70FF" w:rsidRDefault="006F0262" w:rsidP="006F0262">
      <w:pPr>
        <w:jc w:val="both"/>
      </w:pPr>
    </w:p>
    <w:p w:rsidR="006F0262" w:rsidRPr="001F70FF" w:rsidRDefault="006F0262" w:rsidP="006F0262">
      <w:pPr>
        <w:jc w:val="both"/>
        <w:rPr>
          <w:rFonts w:ascii="Arial Narrow" w:hAnsi="Arial Narrow"/>
          <w:b/>
          <w:i/>
          <w:sz w:val="22"/>
        </w:rPr>
      </w:pPr>
      <w:r w:rsidRPr="001F70FF">
        <w:rPr>
          <w:rFonts w:ascii="Arial Narrow" w:hAnsi="Arial Narrow"/>
          <w:b/>
          <w:i/>
          <w:sz w:val="22"/>
        </w:rPr>
        <w:t>Πωλήσεις παγίων περιουσιακών στοιχείων</w:t>
      </w:r>
    </w:p>
    <w:p w:rsidR="006F0262" w:rsidRPr="001F70FF" w:rsidRDefault="006F0262" w:rsidP="006F0262">
      <w:pPr>
        <w:jc w:val="both"/>
      </w:pPr>
    </w:p>
    <w:p w:rsidR="006F0262" w:rsidRPr="001F70FF" w:rsidRDefault="006F0262" w:rsidP="006F0262">
      <w:pPr>
        <w:jc w:val="both"/>
      </w:pPr>
      <w:r w:rsidRPr="001F70FF">
        <w:t>Η κατηγορία αυτή αφορά έσοδα από την αξιοποίηση της ακίνητης περιουσίας του Ελληνικού Δημοσίου</w:t>
      </w:r>
      <w:r>
        <w:t>,</w:t>
      </w:r>
      <w:r w:rsidRPr="001F70FF">
        <w:t xml:space="preserve"> μέσω της διαδικασίας αποκρατικοποιήσεων από το ΤΑΙΠΕΔ. Εκτιμώνται έσοδα ύψους 3</w:t>
      </w:r>
      <w:r>
        <w:t>26</w:t>
      </w:r>
      <w:r w:rsidRPr="001F70FF">
        <w:t xml:space="preserve"> εκατ. ευρώ, </w:t>
      </w:r>
      <w:r w:rsidR="00186B22">
        <w:t>πολύ κοντά στον αρχικό στόχο</w:t>
      </w:r>
      <w:r w:rsidRPr="001F70FF">
        <w:t>.</w:t>
      </w:r>
    </w:p>
    <w:p w:rsidR="006F0262" w:rsidRPr="001F70FF" w:rsidRDefault="006F0262" w:rsidP="006F0262">
      <w:pPr>
        <w:jc w:val="both"/>
      </w:pPr>
    </w:p>
    <w:p w:rsidR="006F0262" w:rsidRPr="001F70FF" w:rsidRDefault="006F0262" w:rsidP="006F0262">
      <w:pPr>
        <w:jc w:val="both"/>
        <w:rPr>
          <w:rFonts w:ascii="Arial Narrow" w:hAnsi="Arial Narrow"/>
          <w:b/>
          <w:i/>
          <w:sz w:val="22"/>
        </w:rPr>
      </w:pPr>
      <w:r w:rsidRPr="001F70FF">
        <w:rPr>
          <w:rFonts w:ascii="Arial Narrow" w:hAnsi="Arial Narrow"/>
          <w:b/>
          <w:i/>
          <w:sz w:val="22"/>
        </w:rPr>
        <w:t>Επιστροφές φόρων</w:t>
      </w:r>
    </w:p>
    <w:p w:rsidR="006F0262" w:rsidRPr="001F70FF" w:rsidRDefault="006F0262" w:rsidP="006F0262">
      <w:pPr>
        <w:jc w:val="both"/>
      </w:pPr>
    </w:p>
    <w:p w:rsidR="006F0262" w:rsidRPr="001F70FF" w:rsidRDefault="006F0262" w:rsidP="006F0262">
      <w:pPr>
        <w:jc w:val="both"/>
      </w:pPr>
      <w:r w:rsidRPr="001F70FF">
        <w:t>Οι επιστροφές αχρεωστήτως εισπραχθέντων εσόδων αναμένεται να διαμορφωθούν στα 4.9</w:t>
      </w:r>
      <w:r>
        <w:t>26</w:t>
      </w:r>
      <w:r w:rsidRPr="001F70FF">
        <w:t xml:space="preserve"> εκατ. ευρώ, </w:t>
      </w:r>
      <w:r>
        <w:t>μη παρουσιάζοντας απόκλιση</w:t>
      </w:r>
      <w:r w:rsidRPr="001F70FF">
        <w:t xml:space="preserve"> έναντι του </w:t>
      </w:r>
      <w:r>
        <w:t>στόχου</w:t>
      </w:r>
      <w:r w:rsidRPr="001F70FF">
        <w:t>.</w:t>
      </w:r>
    </w:p>
    <w:p w:rsidR="006F0262" w:rsidRPr="001F70FF" w:rsidRDefault="006F0262" w:rsidP="006F0262">
      <w:pPr>
        <w:jc w:val="both"/>
        <w:rPr>
          <w:bCs/>
        </w:rPr>
      </w:pPr>
    </w:p>
    <w:p w:rsidR="006F0262" w:rsidRPr="00474DD1" w:rsidRDefault="006F0262" w:rsidP="006F0262">
      <w:pPr>
        <w:jc w:val="both"/>
        <w:rPr>
          <w:rFonts w:ascii="Arial Narrow" w:hAnsi="Arial Narrow"/>
          <w:b/>
          <w:i/>
          <w:sz w:val="22"/>
        </w:rPr>
      </w:pPr>
      <w:r w:rsidRPr="00474DD1">
        <w:rPr>
          <w:rFonts w:ascii="Arial Narrow" w:hAnsi="Arial Narrow"/>
          <w:b/>
          <w:i/>
          <w:sz w:val="22"/>
        </w:rPr>
        <w:t>Έσοδα Προγράμματος Δημοσίων Επενδύσεων</w:t>
      </w:r>
    </w:p>
    <w:p w:rsidR="006F0262" w:rsidRPr="001F70FF" w:rsidRDefault="006F0262" w:rsidP="006F0262">
      <w:pPr>
        <w:jc w:val="both"/>
        <w:rPr>
          <w:bCs/>
        </w:rPr>
      </w:pPr>
    </w:p>
    <w:p w:rsidR="006F0262" w:rsidRDefault="006F0262" w:rsidP="006F0262">
      <w:pPr>
        <w:jc w:val="both"/>
      </w:pPr>
      <w:r w:rsidRPr="001F70FF">
        <w:t xml:space="preserve">Τα έσοδα του ΠΔΕ περιλαμβάνονται στις κατηγορίες «Μεταβιβάσεις» και «Λοιπά τρέχοντα έσοδα». Ειδικότερα, τα έσοδα ΠΔΕ αναμένεται να ανέλθουν στο ποσό των </w:t>
      </w:r>
      <w:r>
        <w:t>6.230 εκατ. ευρώ, αυξημένα κατά 2.130</w:t>
      </w:r>
      <w:r w:rsidRPr="001F70FF">
        <w:t xml:space="preserve"> εκατ. ευρώ έναντι του στόχου.</w:t>
      </w:r>
      <w:r>
        <w:t xml:space="preserve"> </w:t>
      </w:r>
    </w:p>
    <w:p w:rsidR="006F0262" w:rsidRPr="005A044D" w:rsidRDefault="006F0262" w:rsidP="006F0262">
      <w:pPr>
        <w:jc w:val="both"/>
      </w:pPr>
    </w:p>
    <w:p w:rsidR="001F70FF" w:rsidRPr="00264501" w:rsidRDefault="00264501" w:rsidP="008D2708">
      <w:pPr>
        <w:rPr>
          <w:strike/>
          <w:sz w:val="22"/>
          <w:szCs w:val="22"/>
        </w:rPr>
      </w:pPr>
      <w:r>
        <w:rPr>
          <w:sz w:val="22"/>
          <w:szCs w:val="22"/>
        </w:rPr>
        <w:br w:type="page"/>
      </w:r>
    </w:p>
    <w:tbl>
      <w:tblPr>
        <w:tblW w:w="8998" w:type="dxa"/>
        <w:tblInd w:w="103" w:type="dxa"/>
        <w:tblCellMar>
          <w:left w:w="28" w:type="dxa"/>
          <w:right w:w="28" w:type="dxa"/>
        </w:tblCellMar>
        <w:tblLook w:val="04A0" w:firstRow="1" w:lastRow="0" w:firstColumn="1" w:lastColumn="0" w:noHBand="0" w:noVBand="1"/>
      </w:tblPr>
      <w:tblGrid>
        <w:gridCol w:w="5454"/>
        <w:gridCol w:w="992"/>
        <w:gridCol w:w="850"/>
        <w:gridCol w:w="740"/>
        <w:gridCol w:w="962"/>
      </w:tblGrid>
      <w:tr w:rsidR="00731185" w:rsidRPr="00264501" w:rsidTr="000A385A">
        <w:trPr>
          <w:trHeight w:val="315"/>
          <w:tblHeader/>
        </w:trPr>
        <w:tc>
          <w:tcPr>
            <w:tcW w:w="8998"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264501" w:rsidRDefault="00C86795" w:rsidP="00033025">
            <w:pPr>
              <w:jc w:val="center"/>
              <w:rPr>
                <w:rFonts w:ascii="Arial Narrow" w:hAnsi="Arial Narrow"/>
                <w:b/>
                <w:bCs/>
                <w:sz w:val="22"/>
              </w:rPr>
            </w:pPr>
            <w:r w:rsidRPr="00264501">
              <w:rPr>
                <w:rFonts w:ascii="Arial Narrow" w:hAnsi="Arial Narrow"/>
                <w:b/>
                <w:bCs/>
                <w:sz w:val="22"/>
              </w:rPr>
              <w:t>Π</w:t>
            </w:r>
            <w:r w:rsidR="00731185" w:rsidRPr="00264501">
              <w:rPr>
                <w:rFonts w:ascii="Arial Narrow" w:hAnsi="Arial Narrow"/>
                <w:b/>
                <w:bCs/>
                <w:sz w:val="22"/>
              </w:rPr>
              <w:t xml:space="preserve">ίνακας 2.1 Ισοζύγιο Γενικής Κυβέρνησης σύμφωνα με τη μεθοδολογία </w:t>
            </w:r>
          </w:p>
          <w:p w:rsidR="00731185" w:rsidRPr="00264501" w:rsidRDefault="00731185" w:rsidP="00033025">
            <w:pPr>
              <w:jc w:val="center"/>
              <w:rPr>
                <w:rFonts w:ascii="Arial Narrow" w:hAnsi="Arial Narrow"/>
                <w:b/>
                <w:bCs/>
                <w:sz w:val="22"/>
                <w:lang w:val="en-US"/>
              </w:rPr>
            </w:pPr>
            <w:r w:rsidRPr="00264501">
              <w:rPr>
                <w:rFonts w:ascii="Arial Narrow" w:hAnsi="Arial Narrow"/>
                <w:b/>
                <w:bCs/>
                <w:sz w:val="22"/>
                <w:lang w:val="en-US"/>
              </w:rPr>
              <w:t>European System of Accounts (ESA)</w:t>
            </w:r>
          </w:p>
          <w:p w:rsidR="00731185" w:rsidRPr="00264501" w:rsidRDefault="00731185" w:rsidP="00033025">
            <w:pPr>
              <w:jc w:val="center"/>
              <w:rPr>
                <w:rFonts w:ascii="Arial Narrow" w:hAnsi="Arial Narrow"/>
                <w:b/>
                <w:bCs/>
                <w:vertAlign w:val="superscript"/>
              </w:rPr>
            </w:pPr>
            <w:r w:rsidRPr="00264501">
              <w:rPr>
                <w:rFonts w:ascii="Arial Narrow" w:hAnsi="Arial Narrow"/>
                <w:b/>
                <w:bCs/>
                <w:sz w:val="22"/>
              </w:rPr>
              <w:t>(σε εκατ. ευρώ)</w:t>
            </w:r>
          </w:p>
        </w:tc>
      </w:tr>
      <w:tr w:rsidR="00731185" w:rsidRPr="00264501" w:rsidTr="000A385A">
        <w:trPr>
          <w:trHeight w:val="170"/>
          <w:tblHeader/>
        </w:trPr>
        <w:tc>
          <w:tcPr>
            <w:tcW w:w="5454" w:type="dxa"/>
            <w:tcBorders>
              <w:top w:val="nil"/>
              <w:left w:val="single" w:sz="4" w:space="0" w:color="auto"/>
              <w:bottom w:val="nil"/>
              <w:right w:val="single" w:sz="4" w:space="0" w:color="auto"/>
            </w:tcBorders>
            <w:shd w:val="clear" w:color="000000" w:fill="FFFFFF"/>
            <w:vAlign w:val="center"/>
            <w:hideMark/>
          </w:tcPr>
          <w:p w:rsidR="00731185" w:rsidRPr="00264501" w:rsidRDefault="00731185" w:rsidP="00033025">
            <w:pPr>
              <w:spacing w:before="120" w:after="120" w:line="228" w:lineRule="auto"/>
              <w:jc w:val="center"/>
              <w:rPr>
                <w:rFonts w:ascii="Arial Narrow" w:hAnsi="Arial Narrow"/>
                <w:b/>
                <w:bCs/>
                <w:sz w:val="16"/>
                <w:szCs w:val="16"/>
              </w:rPr>
            </w:pPr>
            <w:r w:rsidRPr="00264501">
              <w:rPr>
                <w:rFonts w:ascii="Arial Narrow" w:hAnsi="Arial Narrow"/>
                <w:b/>
                <w:bCs/>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31185" w:rsidRPr="00264501" w:rsidRDefault="00731185" w:rsidP="00033025">
            <w:pPr>
              <w:spacing w:before="120" w:after="120" w:line="228" w:lineRule="auto"/>
              <w:jc w:val="center"/>
              <w:rPr>
                <w:rFonts w:ascii="Arial Narrow" w:hAnsi="Arial Narrow"/>
                <w:b/>
                <w:bCs/>
                <w:sz w:val="16"/>
                <w:szCs w:val="16"/>
              </w:rPr>
            </w:pPr>
            <w:r w:rsidRPr="00264501">
              <w:rPr>
                <w:rFonts w:ascii="Arial Narrow" w:hAnsi="Arial Narrow"/>
                <w:b/>
                <w:bCs/>
                <w:sz w:val="16"/>
                <w:szCs w:val="16"/>
              </w:rPr>
              <w:t>201</w:t>
            </w:r>
            <w:r w:rsidR="00264501">
              <w:rPr>
                <w:rFonts w:ascii="Arial Narrow" w:hAnsi="Arial Narrow"/>
                <w:b/>
                <w:bCs/>
                <w:sz w:val="16"/>
                <w:szCs w:val="16"/>
              </w:rPr>
              <w:t>9</w:t>
            </w:r>
          </w:p>
        </w:tc>
        <w:tc>
          <w:tcPr>
            <w:tcW w:w="1590" w:type="dxa"/>
            <w:gridSpan w:val="2"/>
            <w:tcBorders>
              <w:top w:val="single" w:sz="4" w:space="0" w:color="auto"/>
              <w:left w:val="nil"/>
              <w:bottom w:val="single" w:sz="4" w:space="0" w:color="auto"/>
              <w:right w:val="single" w:sz="4" w:space="0" w:color="000000"/>
            </w:tcBorders>
            <w:shd w:val="clear" w:color="000000" w:fill="FFFFFF"/>
            <w:vAlign w:val="center"/>
            <w:hideMark/>
          </w:tcPr>
          <w:p w:rsidR="00731185" w:rsidRPr="00264501" w:rsidRDefault="00731185" w:rsidP="00033025">
            <w:pPr>
              <w:spacing w:before="120" w:after="120" w:line="228" w:lineRule="auto"/>
              <w:jc w:val="center"/>
              <w:rPr>
                <w:rFonts w:ascii="Arial Narrow" w:hAnsi="Arial Narrow"/>
                <w:b/>
                <w:bCs/>
                <w:sz w:val="16"/>
                <w:szCs w:val="16"/>
              </w:rPr>
            </w:pPr>
            <w:r w:rsidRPr="00264501">
              <w:rPr>
                <w:rFonts w:ascii="Arial Narrow" w:hAnsi="Arial Narrow"/>
                <w:b/>
                <w:bCs/>
                <w:sz w:val="16"/>
                <w:szCs w:val="16"/>
              </w:rPr>
              <w:t>20</w:t>
            </w:r>
            <w:r w:rsidR="00264501">
              <w:rPr>
                <w:rFonts w:ascii="Arial Narrow" w:hAnsi="Arial Narrow"/>
                <w:b/>
                <w:bCs/>
                <w:sz w:val="16"/>
                <w:szCs w:val="16"/>
              </w:rPr>
              <w:t>20</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731185" w:rsidRPr="00264501" w:rsidRDefault="00731185" w:rsidP="00033025">
            <w:pPr>
              <w:spacing w:before="120" w:after="120" w:line="228" w:lineRule="auto"/>
              <w:jc w:val="center"/>
              <w:rPr>
                <w:rFonts w:ascii="Arial Narrow" w:hAnsi="Arial Narrow"/>
                <w:b/>
                <w:bCs/>
                <w:sz w:val="16"/>
                <w:szCs w:val="16"/>
              </w:rPr>
            </w:pPr>
            <w:r w:rsidRPr="00264501">
              <w:rPr>
                <w:rFonts w:ascii="Arial Narrow" w:hAnsi="Arial Narrow"/>
                <w:b/>
                <w:bCs/>
                <w:sz w:val="16"/>
                <w:szCs w:val="16"/>
              </w:rPr>
              <w:t>20</w:t>
            </w:r>
            <w:r w:rsidR="00033025" w:rsidRPr="00264501">
              <w:rPr>
                <w:rFonts w:ascii="Arial Narrow" w:hAnsi="Arial Narrow"/>
                <w:b/>
                <w:bCs/>
                <w:sz w:val="16"/>
                <w:szCs w:val="16"/>
              </w:rPr>
              <w:t>2</w:t>
            </w:r>
            <w:r w:rsidR="00264501">
              <w:rPr>
                <w:rFonts w:ascii="Arial Narrow" w:hAnsi="Arial Narrow"/>
                <w:b/>
                <w:bCs/>
                <w:sz w:val="16"/>
                <w:szCs w:val="16"/>
              </w:rPr>
              <w:t>1</w:t>
            </w:r>
          </w:p>
        </w:tc>
      </w:tr>
      <w:tr w:rsidR="00117C9F" w:rsidRPr="00264501" w:rsidTr="000A385A">
        <w:trPr>
          <w:trHeight w:val="567"/>
          <w:tblHeader/>
        </w:trPr>
        <w:tc>
          <w:tcPr>
            <w:tcW w:w="5454" w:type="dxa"/>
            <w:tcBorders>
              <w:top w:val="nil"/>
              <w:left w:val="single" w:sz="4" w:space="0" w:color="auto"/>
              <w:bottom w:val="single" w:sz="4" w:space="0" w:color="auto"/>
              <w:right w:val="single" w:sz="4" w:space="0" w:color="auto"/>
            </w:tcBorders>
            <w:shd w:val="clear" w:color="000000" w:fill="FFFFFF"/>
            <w:vAlign w:val="center"/>
            <w:hideMark/>
          </w:tcPr>
          <w:p w:rsidR="00117C9F" w:rsidRPr="00264501" w:rsidRDefault="00117C9F" w:rsidP="00033025">
            <w:pPr>
              <w:spacing w:line="228" w:lineRule="auto"/>
              <w:jc w:val="center"/>
              <w:rPr>
                <w:rFonts w:ascii="Arial Narrow" w:hAnsi="Arial Narrow"/>
                <w:b/>
                <w:bCs/>
                <w:sz w:val="16"/>
                <w:szCs w:val="16"/>
              </w:rPr>
            </w:pPr>
            <w:r w:rsidRPr="00264501">
              <w:rPr>
                <w:rFonts w:ascii="Arial Narrow" w:hAnsi="Arial Narrow"/>
                <w:b/>
                <w:bCs/>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117C9F" w:rsidRDefault="0073438C" w:rsidP="00033025">
            <w:pPr>
              <w:spacing w:line="228" w:lineRule="auto"/>
              <w:jc w:val="center"/>
              <w:rPr>
                <w:rFonts w:ascii="Arial Narrow" w:hAnsi="Arial Narrow"/>
                <w:b/>
                <w:bCs/>
                <w:sz w:val="16"/>
                <w:szCs w:val="16"/>
              </w:rPr>
            </w:pPr>
            <w:r>
              <w:rPr>
                <w:rFonts w:ascii="Arial Narrow" w:hAnsi="Arial Narrow"/>
                <w:b/>
                <w:bCs/>
                <w:sz w:val="16"/>
                <w:szCs w:val="16"/>
              </w:rPr>
              <w:t>ΔΥΕ Απριλίου</w:t>
            </w:r>
          </w:p>
          <w:p w:rsidR="0073438C" w:rsidRPr="00264501" w:rsidRDefault="0073438C" w:rsidP="00033025">
            <w:pPr>
              <w:spacing w:line="228" w:lineRule="auto"/>
              <w:jc w:val="center"/>
              <w:rPr>
                <w:rFonts w:ascii="Arial Narrow" w:hAnsi="Arial Narrow"/>
                <w:b/>
                <w:bCs/>
                <w:sz w:val="16"/>
                <w:szCs w:val="16"/>
              </w:rPr>
            </w:pPr>
            <w:r>
              <w:rPr>
                <w:rFonts w:ascii="Arial Narrow" w:hAnsi="Arial Narrow"/>
                <w:b/>
                <w:bCs/>
                <w:sz w:val="16"/>
                <w:szCs w:val="16"/>
              </w:rPr>
              <w:t>2020</w:t>
            </w:r>
          </w:p>
        </w:tc>
        <w:tc>
          <w:tcPr>
            <w:tcW w:w="850" w:type="dxa"/>
            <w:tcBorders>
              <w:top w:val="nil"/>
              <w:left w:val="nil"/>
              <w:bottom w:val="single" w:sz="4" w:space="0" w:color="auto"/>
              <w:right w:val="single" w:sz="4" w:space="0" w:color="auto"/>
            </w:tcBorders>
            <w:shd w:val="clear" w:color="000000" w:fill="FFFFFF"/>
            <w:vAlign w:val="center"/>
            <w:hideMark/>
          </w:tcPr>
          <w:p w:rsidR="00117C9F" w:rsidRPr="00264501" w:rsidRDefault="00117C9F" w:rsidP="00033025">
            <w:pPr>
              <w:spacing w:line="228" w:lineRule="auto"/>
              <w:jc w:val="center"/>
              <w:rPr>
                <w:rFonts w:ascii="Arial Narrow" w:hAnsi="Arial Narrow"/>
                <w:b/>
                <w:bCs/>
                <w:sz w:val="16"/>
                <w:szCs w:val="16"/>
              </w:rPr>
            </w:pPr>
            <w:proofErr w:type="spellStart"/>
            <w:r w:rsidRPr="00264501">
              <w:rPr>
                <w:rFonts w:ascii="Arial Narrow" w:hAnsi="Arial Narrow"/>
                <w:b/>
                <w:bCs/>
                <w:sz w:val="16"/>
                <w:szCs w:val="16"/>
              </w:rPr>
              <w:t>Προϋπ</w:t>
            </w:r>
            <w:proofErr w:type="spellEnd"/>
            <w:r w:rsidRPr="00264501">
              <w:rPr>
                <w:rFonts w:ascii="Arial Narrow" w:hAnsi="Arial Narrow"/>
                <w:b/>
                <w:bCs/>
                <w:sz w:val="16"/>
                <w:szCs w:val="16"/>
              </w:rPr>
              <w:t>/</w:t>
            </w:r>
            <w:proofErr w:type="spellStart"/>
            <w:r w:rsidRPr="00264501">
              <w:rPr>
                <w:rFonts w:ascii="Arial Narrow" w:hAnsi="Arial Narrow"/>
                <w:b/>
                <w:bCs/>
                <w:sz w:val="16"/>
                <w:szCs w:val="16"/>
              </w:rPr>
              <w:t>σμός</w:t>
            </w:r>
            <w:proofErr w:type="spellEnd"/>
          </w:p>
        </w:tc>
        <w:tc>
          <w:tcPr>
            <w:tcW w:w="740" w:type="dxa"/>
            <w:tcBorders>
              <w:top w:val="nil"/>
              <w:left w:val="nil"/>
              <w:bottom w:val="single" w:sz="4" w:space="0" w:color="auto"/>
              <w:right w:val="single" w:sz="4" w:space="0" w:color="auto"/>
            </w:tcBorders>
            <w:shd w:val="clear" w:color="000000" w:fill="FFFFFF"/>
            <w:vAlign w:val="center"/>
            <w:hideMark/>
          </w:tcPr>
          <w:p w:rsidR="00117C9F" w:rsidRPr="00264501" w:rsidRDefault="00117C9F" w:rsidP="00033025">
            <w:pPr>
              <w:spacing w:line="228" w:lineRule="auto"/>
              <w:jc w:val="center"/>
              <w:rPr>
                <w:rFonts w:ascii="Arial Narrow" w:hAnsi="Arial Narrow"/>
                <w:b/>
                <w:bCs/>
                <w:sz w:val="16"/>
                <w:szCs w:val="16"/>
              </w:rPr>
            </w:pPr>
            <w:r w:rsidRPr="00264501">
              <w:rPr>
                <w:rFonts w:ascii="Arial Narrow" w:hAnsi="Arial Narrow"/>
                <w:b/>
                <w:bCs/>
                <w:sz w:val="16"/>
                <w:szCs w:val="16"/>
              </w:rPr>
              <w:t>Εκτίμηση</w:t>
            </w:r>
          </w:p>
        </w:tc>
        <w:tc>
          <w:tcPr>
            <w:tcW w:w="962" w:type="dxa"/>
            <w:tcBorders>
              <w:top w:val="nil"/>
              <w:left w:val="nil"/>
              <w:bottom w:val="single" w:sz="4" w:space="0" w:color="auto"/>
              <w:right w:val="single" w:sz="4" w:space="0" w:color="auto"/>
            </w:tcBorders>
            <w:shd w:val="clear" w:color="000000" w:fill="FFFFFF"/>
            <w:vAlign w:val="center"/>
            <w:hideMark/>
          </w:tcPr>
          <w:p w:rsidR="00117C9F" w:rsidRPr="00264501" w:rsidRDefault="00117C9F" w:rsidP="00033025">
            <w:pPr>
              <w:spacing w:line="228" w:lineRule="auto"/>
              <w:jc w:val="center"/>
              <w:rPr>
                <w:rFonts w:ascii="Arial Narrow" w:hAnsi="Arial Narrow"/>
                <w:b/>
                <w:bCs/>
                <w:sz w:val="16"/>
                <w:szCs w:val="16"/>
              </w:rPr>
            </w:pPr>
            <w:r w:rsidRPr="00264501">
              <w:rPr>
                <w:rFonts w:ascii="Arial Narrow" w:hAnsi="Arial Narrow"/>
                <w:b/>
                <w:bCs/>
                <w:sz w:val="16"/>
                <w:szCs w:val="16"/>
              </w:rPr>
              <w:t>Πρόβλεψη</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I. Καθαρά έσοδα κρατικού προϋπολογισμού κατά ESA (</w:t>
            </w:r>
            <w:proofErr w:type="spellStart"/>
            <w:r w:rsidRPr="00264501">
              <w:rPr>
                <w:rFonts w:ascii="Arial Narrow" w:hAnsi="Arial Narrow"/>
                <w:b/>
                <w:bCs/>
                <w:sz w:val="16"/>
                <w:szCs w:val="16"/>
              </w:rPr>
              <w:t>α+β+γ+δ+ε+στ-ζ</w:t>
            </w:r>
            <w:proofErr w:type="spellEnd"/>
            <w:r w:rsidRPr="00264501">
              <w:rPr>
                <w:rFonts w:ascii="Arial Narrow" w:hAnsi="Arial Narrow"/>
                <w:b/>
                <w:bCs/>
                <w:sz w:val="16"/>
                <w:szCs w:val="16"/>
              </w:rPr>
              <w:t>)</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53.488</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54.710</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50.147</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53.705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α. Φόροι (1+2+3+4+5+6+7)</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51.187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52.165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44.594</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49.546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1. Φόροι επί αγαθών και υπηρεσιών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27.867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28.557</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23.936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27.473</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εκ των οποίων: Φόροι προστιθέμενης αξίας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17.678</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18.276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14.864</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18.228</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Ειδικοί φόροι κατανάλωσης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7.102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7.214</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6.519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6.784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2. Φόροι και δασμοί επί εισαγωγών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298</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322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242</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293</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3. Τακτικοί φόροι ακίνητης περιουσίας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2.722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2.829</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2.690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2.688</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4. Λοιποί φόροι επί παραγωγής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1.060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1.130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1.206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1.149</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5. Φόρος εισοδήματος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16.568</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16.663</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13.943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15.199</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εκ των οποίων: Φόρος εισοδήματος πληρωτέος από Φυσικά Πρόσωπα (ΦΠ)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10.920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11.415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10.058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10.474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Φόρος εισοδήματος πληρωτέος από εταιρίες (ΝΠ)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4.485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4.017</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2.807</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3.564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6. Φόροι κεφαλαίου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249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273</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170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246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7. Λοιποί τρέχοντες φόροι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2.423</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2.391</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2.407</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2.498</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β. Κοινωνικές εισφορές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55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54</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γ. Μεταβιβάσεις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4.511</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4.592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6.803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6.647</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δ. Πωλήσεις αγαθών και υπηρεσιών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673</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687</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556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635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ε. Λοιπά τρέχοντα έσοδα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2.414</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1.806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2.741</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2.070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   </w:t>
            </w:r>
            <w:r w:rsidRPr="00264501">
              <w:rPr>
                <w:rFonts w:ascii="Arial Narrow" w:hAnsi="Arial Narrow"/>
                <w:sz w:val="16"/>
                <w:szCs w:val="16"/>
              </w:rPr>
              <w:t>εκ των οποίων: ε1. Επιστροφές δαπανών για τόκους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40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BA589C">
            <w:pPr>
              <w:rPr>
                <w:rFonts w:ascii="Arial Narrow" w:hAnsi="Arial Narrow"/>
                <w:b/>
                <w:bCs/>
                <w:sz w:val="16"/>
                <w:szCs w:val="16"/>
              </w:rPr>
            </w:pPr>
            <w:r w:rsidRPr="00264501">
              <w:rPr>
                <w:rFonts w:ascii="Arial Narrow" w:hAnsi="Arial Narrow"/>
                <w:b/>
                <w:bCs/>
                <w:sz w:val="16"/>
                <w:szCs w:val="16"/>
              </w:rPr>
              <w:t>στ. Πωλήσεις παγίων περιουσιακών στοιχείων</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6</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332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326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ζ. Επιστροφές εσόδων</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5.358</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4.926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4.926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5.278</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Πληροφοριακά στοιχεία: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r w:rsidRPr="00264501">
              <w:rPr>
                <w:rFonts w:ascii="Arial Narrow" w:hAnsi="Arial Narrow"/>
                <w:i/>
                <w:iCs/>
                <w:sz w:val="16"/>
                <w:szCs w:val="16"/>
              </w:rPr>
              <w:t>Πρόγραμμα Δημοσίων Επενδύσεων (ΠΔΕ)</w:t>
            </w:r>
            <w:r>
              <w:rPr>
                <w:rFonts w:ascii="Arial Narrow" w:hAnsi="Arial Narrow"/>
                <w:i/>
                <w:iCs/>
                <w:sz w:val="16"/>
                <w:szCs w:val="16"/>
                <w:vertAlign w:val="superscript"/>
              </w:rPr>
              <w:t>1</w:t>
            </w:r>
            <w:r w:rsidRPr="00264501">
              <w:rPr>
                <w:rFonts w:ascii="Arial Narrow" w:hAnsi="Arial Narrow"/>
                <w:i/>
                <w:iCs/>
                <w:sz w:val="16"/>
                <w:szCs w:val="16"/>
              </w:rPr>
              <w:t xml:space="preserve">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r>
              <w:rPr>
                <w:rFonts w:ascii="Arial Narrow" w:hAnsi="Arial Narrow"/>
                <w:i/>
                <w:iCs/>
                <w:sz w:val="16"/>
                <w:szCs w:val="16"/>
              </w:rPr>
              <w:t>2.815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i/>
                <w:iCs/>
                <w:sz w:val="16"/>
                <w:szCs w:val="16"/>
              </w:rPr>
            </w:pPr>
            <w:r>
              <w:rPr>
                <w:rFonts w:ascii="Arial Narrow" w:hAnsi="Arial Narrow"/>
                <w:i/>
                <w:iCs/>
                <w:sz w:val="16"/>
                <w:szCs w:val="16"/>
              </w:rPr>
              <w:t>4.100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i/>
                <w:iCs/>
                <w:sz w:val="16"/>
                <w:szCs w:val="16"/>
              </w:rPr>
            </w:pPr>
            <w:r>
              <w:rPr>
                <w:rFonts w:ascii="Arial Narrow" w:hAnsi="Arial Narrow"/>
                <w:i/>
                <w:iCs/>
                <w:sz w:val="16"/>
                <w:szCs w:val="16"/>
              </w:rPr>
              <w:t>6.230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i/>
                <w:iCs/>
                <w:sz w:val="16"/>
                <w:szCs w:val="16"/>
              </w:rPr>
            </w:pPr>
            <w:r>
              <w:rPr>
                <w:rFonts w:ascii="Arial Narrow" w:hAnsi="Arial Narrow"/>
                <w:i/>
                <w:iCs/>
                <w:sz w:val="16"/>
                <w:szCs w:val="16"/>
              </w:rPr>
              <w:t>3.875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vertAlign w:val="superscript"/>
              </w:rPr>
            </w:pPr>
            <w:r w:rsidRPr="00264501">
              <w:rPr>
                <w:rFonts w:ascii="Arial Narrow" w:hAnsi="Arial Narrow"/>
                <w:b/>
                <w:bCs/>
                <w:sz w:val="16"/>
                <w:szCs w:val="16"/>
              </w:rPr>
              <w:t>II. Δαπάνες κρατικού προϋπολογισμού κατά ESA (</w:t>
            </w:r>
            <w:proofErr w:type="spellStart"/>
            <w:r w:rsidRPr="00264501">
              <w:rPr>
                <w:rFonts w:ascii="Arial Narrow" w:hAnsi="Arial Narrow"/>
                <w:b/>
                <w:bCs/>
                <w:sz w:val="16"/>
                <w:szCs w:val="16"/>
              </w:rPr>
              <w:t>α+β+γ+δ+ε+στ+ζ+η+θ+ι</w:t>
            </w:r>
            <w:proofErr w:type="spellEnd"/>
            <w:r w:rsidRPr="00264501">
              <w:rPr>
                <w:rFonts w:ascii="Arial Narrow" w:hAnsi="Arial Narrow"/>
                <w:b/>
                <w:bCs/>
                <w:sz w:val="16"/>
                <w:szCs w:val="16"/>
              </w:rPr>
              <w:t>)</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55.926</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57.163</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68.528</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63.884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C011FE">
            <w:pPr>
              <w:jc w:val="both"/>
              <w:rPr>
                <w:rFonts w:ascii="Arial Narrow" w:hAnsi="Arial Narrow"/>
                <w:b/>
                <w:bCs/>
                <w:sz w:val="16"/>
                <w:szCs w:val="16"/>
              </w:rPr>
            </w:pPr>
            <w:r w:rsidRPr="00264501">
              <w:rPr>
                <w:rFonts w:ascii="Arial Narrow" w:hAnsi="Arial Narrow"/>
                <w:b/>
                <w:bCs/>
                <w:sz w:val="16"/>
                <w:szCs w:val="16"/>
              </w:rPr>
              <w:t>α. Παροχές σε εργαζ</w:t>
            </w:r>
            <w:r>
              <w:rPr>
                <w:rFonts w:ascii="Arial Narrow" w:hAnsi="Arial Narrow"/>
                <w:b/>
                <w:bCs/>
                <w:sz w:val="16"/>
                <w:szCs w:val="16"/>
              </w:rPr>
              <w:t>ό</w:t>
            </w:r>
            <w:r w:rsidRPr="00264501">
              <w:rPr>
                <w:rFonts w:ascii="Arial Narrow" w:hAnsi="Arial Narrow"/>
                <w:b/>
                <w:bCs/>
                <w:sz w:val="16"/>
                <w:szCs w:val="16"/>
              </w:rPr>
              <w:t>μ</w:t>
            </w:r>
            <w:r>
              <w:rPr>
                <w:rFonts w:ascii="Arial Narrow" w:hAnsi="Arial Narrow"/>
                <w:b/>
                <w:bCs/>
                <w:sz w:val="16"/>
                <w:szCs w:val="16"/>
              </w:rPr>
              <w:t>ε</w:t>
            </w:r>
            <w:r w:rsidRPr="00264501">
              <w:rPr>
                <w:rFonts w:ascii="Arial Narrow" w:hAnsi="Arial Narrow"/>
                <w:b/>
                <w:bCs/>
                <w:sz w:val="16"/>
                <w:szCs w:val="16"/>
              </w:rPr>
              <w:t xml:space="preserve">νους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12.914</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13.390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13.410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13.424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β. Κοινωνικές παροχές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649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134</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232</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225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γ. Μεταβιβάσεις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28.287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27.844</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36.596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30.085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δ. Αγορές αγαθών και υπηρεσιών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1.490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968</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1.564</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1.031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ε. Επιδοτήσεις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224</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89</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102</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80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vertAlign w:val="superscript"/>
              </w:rPr>
            </w:pPr>
            <w:r w:rsidRPr="00264501">
              <w:rPr>
                <w:rFonts w:ascii="Arial Narrow" w:hAnsi="Arial Narrow"/>
                <w:b/>
                <w:bCs/>
                <w:sz w:val="16"/>
                <w:szCs w:val="16"/>
              </w:rPr>
              <w:t xml:space="preserve">στ. Τόκοι (σε ακαθάριστη βάση)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6.443</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6.000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5.850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5.650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ζ. Λοιπές δαπάνες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71</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72</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91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η. Πιστώσεις υπό κατανομή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5.642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8.245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10.068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11.708</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BA589C">
            <w:pPr>
              <w:rPr>
                <w:rFonts w:ascii="Arial Narrow" w:hAnsi="Arial Narrow"/>
                <w:b/>
                <w:bCs/>
                <w:sz w:val="16"/>
                <w:szCs w:val="16"/>
              </w:rPr>
            </w:pPr>
            <w:r w:rsidRPr="00264501">
              <w:rPr>
                <w:rFonts w:ascii="Arial Narrow" w:hAnsi="Arial Narrow"/>
                <w:b/>
                <w:bCs/>
                <w:sz w:val="16"/>
                <w:szCs w:val="16"/>
              </w:rPr>
              <w:t xml:space="preserve">θ. Αγορές παγίων περιουσιακών στοιχείων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227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421</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636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1.590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ι. Τιμαλφή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Πληροφοριακά στοιχεία: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BA589C">
            <w:pPr>
              <w:rPr>
                <w:rFonts w:ascii="Arial Narrow" w:hAnsi="Arial Narrow"/>
                <w:i/>
                <w:iCs/>
                <w:sz w:val="16"/>
                <w:szCs w:val="16"/>
                <w:vertAlign w:val="superscript"/>
              </w:rPr>
            </w:pPr>
            <w:r w:rsidRPr="00264501">
              <w:rPr>
                <w:rFonts w:ascii="Arial Narrow" w:hAnsi="Arial Narrow"/>
                <w:i/>
                <w:iCs/>
                <w:sz w:val="16"/>
                <w:szCs w:val="16"/>
              </w:rPr>
              <w:t>Πρόγραμμα Δημοσίων Επενδύσεων (ΠΔΕ)</w:t>
            </w:r>
            <w:r>
              <w:rPr>
                <w:rFonts w:ascii="Arial Narrow" w:hAnsi="Arial Narrow"/>
                <w:i/>
                <w:iCs/>
                <w:sz w:val="16"/>
                <w:szCs w:val="16"/>
                <w:vertAlign w:val="superscript"/>
              </w:rPr>
              <w:t>1</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r>
              <w:rPr>
                <w:rFonts w:ascii="Arial Narrow" w:hAnsi="Arial Narrow"/>
                <w:i/>
                <w:iCs/>
                <w:sz w:val="16"/>
                <w:szCs w:val="16"/>
              </w:rPr>
              <w:t>5.642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i/>
                <w:iCs/>
                <w:sz w:val="16"/>
                <w:szCs w:val="16"/>
              </w:rPr>
            </w:pPr>
            <w:r>
              <w:rPr>
                <w:rFonts w:ascii="Arial Narrow" w:hAnsi="Arial Narrow"/>
                <w:i/>
                <w:iCs/>
                <w:sz w:val="16"/>
                <w:szCs w:val="16"/>
              </w:rPr>
              <w:t>6.750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i/>
                <w:iCs/>
                <w:sz w:val="16"/>
                <w:szCs w:val="16"/>
              </w:rPr>
            </w:pPr>
            <w:r>
              <w:rPr>
                <w:rFonts w:ascii="Arial Narrow" w:hAnsi="Arial Narrow"/>
                <w:i/>
                <w:iCs/>
                <w:sz w:val="16"/>
                <w:szCs w:val="16"/>
              </w:rPr>
              <w:t>9.521</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i/>
                <w:iCs/>
                <w:sz w:val="16"/>
                <w:szCs w:val="16"/>
              </w:rPr>
            </w:pPr>
            <w:r>
              <w:rPr>
                <w:rFonts w:ascii="Arial Narrow" w:hAnsi="Arial Narrow"/>
                <w:i/>
                <w:iCs/>
                <w:sz w:val="16"/>
                <w:szCs w:val="16"/>
              </w:rPr>
              <w:t>6.750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III. Ισοζύγιο κρατικού προϋπολογισμού κατά ESA (Ι-ΙI) </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-2.438</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-2.453</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-18.381</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-10.179</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ΑΕΠ</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-1,3%</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-1,2%</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-10,8%</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-5,5%</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IV. Πρωτογενές αποτέλεσμα κρατικού προϋπολογισμού κατά ESA (III+II.στ-I.ε1)</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3.965</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3.547</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-12.538</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-4.529</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ΑΕΠ</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2,1%</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1,8%</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-7,3%</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V. Ισοζύγιο νομικών προσώπων κατά ESA</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3.573</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2.785</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3.847</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2.260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Έσοδα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9.627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9.661</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10.165</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8.956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Τρέχουσες και λοιπές κεφαλαιακές μεταβιβάσεις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4.052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4.025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4.677</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3.363</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Τόκοι πιστωτικοί</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965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755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699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650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Φόροι</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1.840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1.936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1.720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2.038</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Αντικριζόμενα έσοδα (καθαρά)</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έσοδα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2.780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2.946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3.068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2.905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Έξοδα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6.055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6.876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6.318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6.696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Παροχές σε εργαζόμενους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1.272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1.309</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1.283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1.313</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Τόκοι χρεωστικοί</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436</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442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406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392</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έξοδα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2.143</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2.240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2.159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2.331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Επενδυτικές δαπάνες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796</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1.396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917</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1.218</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Λοιπές μεταβιβάσεις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349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289</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303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292</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Επιδοτήσεις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1.058</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1.200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1.250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1.150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Pr>
                <w:rFonts w:ascii="Arial Narrow" w:hAnsi="Arial Narrow"/>
                <w:b/>
                <w:bCs/>
                <w:sz w:val="16"/>
                <w:szCs w:val="16"/>
              </w:rPr>
              <w:t>VΙ. Ισοζύγιο Νοσοκομείων - ΠΦΥ</w:t>
            </w:r>
            <w:r w:rsidRPr="00264501">
              <w:rPr>
                <w:rFonts w:ascii="Arial Narrow" w:hAnsi="Arial Narrow"/>
                <w:b/>
                <w:bCs/>
                <w:sz w:val="16"/>
                <w:szCs w:val="16"/>
              </w:rPr>
              <w:t xml:space="preserve"> κατά ESA</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-251</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-25</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-66</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xml:space="preserve">Έσοδα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2.353</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2.437</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2.669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2.690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Τρέχουσες και λοιπές κεφαλαιακές μεταβιβάσεις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1.455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1.339</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1.543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1.564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Μεταβιβάσεις από ΕΟΠΥΥ</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738</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888</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888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888</w:t>
            </w:r>
          </w:p>
        </w:tc>
      </w:tr>
      <w:tr w:rsidR="0073438C" w:rsidRPr="00264501" w:rsidTr="000A385A">
        <w:trPr>
          <w:trHeight w:val="170"/>
        </w:trPr>
        <w:tc>
          <w:tcPr>
            <w:tcW w:w="5454" w:type="dxa"/>
            <w:tcBorders>
              <w:top w:val="nil"/>
              <w:left w:val="single" w:sz="4" w:space="0" w:color="auto"/>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Αντικριζόμενα έσοδα (καθαρά)</w:t>
            </w:r>
          </w:p>
        </w:tc>
        <w:tc>
          <w:tcPr>
            <w:tcW w:w="992" w:type="dxa"/>
            <w:tcBorders>
              <w:top w:val="nil"/>
              <w:left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-61</w:t>
            </w:r>
          </w:p>
        </w:tc>
        <w:tc>
          <w:tcPr>
            <w:tcW w:w="850" w:type="dxa"/>
            <w:tcBorders>
              <w:top w:val="nil"/>
              <w:left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740" w:type="dxa"/>
            <w:tcBorders>
              <w:top w:val="nil"/>
              <w:left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962" w:type="dxa"/>
            <w:tcBorders>
              <w:top w:val="nil"/>
              <w:left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r>
      <w:tr w:rsidR="0073438C" w:rsidRPr="00264501" w:rsidTr="000A385A">
        <w:trPr>
          <w:trHeight w:val="170"/>
        </w:trPr>
        <w:tc>
          <w:tcPr>
            <w:tcW w:w="5454" w:type="dxa"/>
            <w:tcBorders>
              <w:top w:val="nil"/>
              <w:left w:val="single" w:sz="4" w:space="0" w:color="auto"/>
              <w:bottom w:val="single" w:sz="4" w:space="0" w:color="auto"/>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έσοδα</w:t>
            </w:r>
          </w:p>
        </w:tc>
        <w:tc>
          <w:tcPr>
            <w:tcW w:w="992" w:type="dxa"/>
            <w:tcBorders>
              <w:top w:val="nil"/>
              <w:left w:val="nil"/>
              <w:bottom w:val="single" w:sz="4" w:space="0" w:color="auto"/>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221</w:t>
            </w:r>
          </w:p>
        </w:tc>
        <w:tc>
          <w:tcPr>
            <w:tcW w:w="850" w:type="dxa"/>
            <w:tcBorders>
              <w:top w:val="nil"/>
              <w:left w:val="nil"/>
              <w:bottom w:val="single" w:sz="4" w:space="0" w:color="auto"/>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210</w:t>
            </w:r>
          </w:p>
        </w:tc>
        <w:tc>
          <w:tcPr>
            <w:tcW w:w="740" w:type="dxa"/>
            <w:tcBorders>
              <w:top w:val="nil"/>
              <w:left w:val="nil"/>
              <w:bottom w:val="single" w:sz="4" w:space="0" w:color="auto"/>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238</w:t>
            </w:r>
          </w:p>
        </w:tc>
        <w:tc>
          <w:tcPr>
            <w:tcW w:w="962" w:type="dxa"/>
            <w:tcBorders>
              <w:top w:val="nil"/>
              <w:left w:val="nil"/>
              <w:bottom w:val="single" w:sz="4" w:space="0" w:color="auto"/>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238</w:t>
            </w:r>
          </w:p>
        </w:tc>
      </w:tr>
      <w:tr w:rsidR="0073438C" w:rsidRPr="00264501" w:rsidTr="000A385A">
        <w:trPr>
          <w:trHeight w:val="170"/>
        </w:trPr>
        <w:tc>
          <w:tcPr>
            <w:tcW w:w="5454" w:type="dxa"/>
            <w:tcBorders>
              <w:top w:val="single" w:sz="4" w:space="0" w:color="auto"/>
              <w:left w:val="single" w:sz="4" w:space="0" w:color="auto"/>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lastRenderedPageBreak/>
              <w:t>Έξοδα</w:t>
            </w:r>
          </w:p>
        </w:tc>
        <w:tc>
          <w:tcPr>
            <w:tcW w:w="992" w:type="dxa"/>
            <w:tcBorders>
              <w:top w:val="single" w:sz="4" w:space="0" w:color="auto"/>
              <w:left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2.603</w:t>
            </w:r>
          </w:p>
        </w:tc>
        <w:tc>
          <w:tcPr>
            <w:tcW w:w="850" w:type="dxa"/>
            <w:tcBorders>
              <w:top w:val="single" w:sz="4" w:space="0" w:color="auto"/>
              <w:left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2.461</w:t>
            </w:r>
          </w:p>
        </w:tc>
        <w:tc>
          <w:tcPr>
            <w:tcW w:w="740" w:type="dxa"/>
            <w:tcBorders>
              <w:top w:val="single" w:sz="4" w:space="0" w:color="auto"/>
              <w:left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2.735</w:t>
            </w:r>
          </w:p>
        </w:tc>
        <w:tc>
          <w:tcPr>
            <w:tcW w:w="962" w:type="dxa"/>
            <w:tcBorders>
              <w:top w:val="single" w:sz="4" w:space="0" w:color="auto"/>
              <w:left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2.704</w:t>
            </w:r>
          </w:p>
        </w:tc>
      </w:tr>
      <w:tr w:rsidR="0073438C" w:rsidRPr="00264501" w:rsidTr="000A385A">
        <w:trPr>
          <w:trHeight w:val="170"/>
        </w:trPr>
        <w:tc>
          <w:tcPr>
            <w:tcW w:w="5454" w:type="dxa"/>
            <w:tcBorders>
              <w:top w:val="nil"/>
              <w:left w:val="single" w:sz="4" w:space="0" w:color="auto"/>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Παροχές σε εργαζόμενους</w:t>
            </w:r>
          </w:p>
        </w:tc>
        <w:tc>
          <w:tcPr>
            <w:tcW w:w="992" w:type="dxa"/>
            <w:tcBorders>
              <w:top w:val="nil"/>
              <w:left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554</w:t>
            </w:r>
          </w:p>
        </w:tc>
        <w:tc>
          <w:tcPr>
            <w:tcW w:w="850" w:type="dxa"/>
            <w:tcBorders>
              <w:top w:val="nil"/>
              <w:left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596</w:t>
            </w:r>
          </w:p>
        </w:tc>
        <w:tc>
          <w:tcPr>
            <w:tcW w:w="740" w:type="dxa"/>
            <w:tcBorders>
              <w:top w:val="nil"/>
              <w:left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648</w:t>
            </w:r>
          </w:p>
        </w:tc>
        <w:tc>
          <w:tcPr>
            <w:tcW w:w="962" w:type="dxa"/>
            <w:tcBorders>
              <w:top w:val="nil"/>
              <w:left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707</w:t>
            </w:r>
          </w:p>
        </w:tc>
      </w:tr>
      <w:tr w:rsidR="0073438C" w:rsidRPr="00264501" w:rsidTr="000A385A">
        <w:trPr>
          <w:trHeight w:val="170"/>
        </w:trPr>
        <w:tc>
          <w:tcPr>
            <w:tcW w:w="5454" w:type="dxa"/>
            <w:tcBorders>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Τόκοι χρεωστικοί</w:t>
            </w:r>
          </w:p>
        </w:tc>
        <w:tc>
          <w:tcPr>
            <w:tcW w:w="992" w:type="dxa"/>
            <w:tcBorders>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0</w:t>
            </w:r>
          </w:p>
        </w:tc>
        <w:tc>
          <w:tcPr>
            <w:tcW w:w="850" w:type="dxa"/>
            <w:tcBorders>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740" w:type="dxa"/>
            <w:tcBorders>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962" w:type="dxa"/>
            <w:tcBorders>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έξοδα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1.948</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1.805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1.987</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1.895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Επενδυτικές δαπάνες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101</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100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102</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VΙΙ. Ισοζύγιο Κεντρικής Κυβέρνησης κατά ESA (ΙII+V+VΙ)</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884</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308</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-14.601</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-7.934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VIII. Ισοζύγιο OΤΑ κατά ESA</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82</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201</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-100</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Έσοδα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5.999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6.632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6.209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6.349</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Τρέχουσες και λοιπές κεφαλαιακές μεταβιβάσεις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3.379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3.820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3.906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3.755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Τόκοι πιστωτικοί</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50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45</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Αντικριζόμενα έσοδα (καθαρά)</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Φόροι</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1.741</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1.953</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1.392</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1.630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έσοδα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855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826</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889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935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Έξοδα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5.917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6.432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6.309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6.400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Παροχές σε εργαζόμενους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2.483</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2.510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2.548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2.602</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Τόκοι χρεωστικοί</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59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47</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59</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Κοινωνικές παροχές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167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219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146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έξοδα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1.893</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1.993</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1.928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1.883</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Επενδυτικές δαπάνες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1.315</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1.639</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1.568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1.710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i/>
                <w:i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i/>
                <w:i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552F6B">
            <w:pPr>
              <w:rPr>
                <w:rFonts w:ascii="Arial Narrow" w:hAnsi="Arial Narrow"/>
                <w:b/>
                <w:bCs/>
                <w:sz w:val="16"/>
                <w:szCs w:val="16"/>
              </w:rPr>
            </w:pPr>
            <w:r w:rsidRPr="00264501">
              <w:rPr>
                <w:rFonts w:ascii="Arial Narrow" w:hAnsi="Arial Narrow"/>
                <w:b/>
                <w:bCs/>
                <w:sz w:val="16"/>
                <w:szCs w:val="16"/>
              </w:rPr>
              <w:t>IΧ. Ισοζύγ</w:t>
            </w:r>
            <w:r>
              <w:rPr>
                <w:rFonts w:ascii="Arial Narrow" w:hAnsi="Arial Narrow"/>
                <w:b/>
                <w:bCs/>
                <w:sz w:val="16"/>
                <w:szCs w:val="16"/>
              </w:rPr>
              <w:t xml:space="preserve">ιο OKA </w:t>
            </w:r>
            <w:r w:rsidRPr="00264501">
              <w:rPr>
                <w:rFonts w:ascii="Arial Narrow" w:hAnsi="Arial Narrow"/>
                <w:b/>
                <w:bCs/>
                <w:sz w:val="16"/>
                <w:szCs w:val="16"/>
              </w:rPr>
              <w:t>κατά ESA</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1.780</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1.799</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1.065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Έσοδα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43.619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43.360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43.723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43.725</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Τρέχουσες και λοιπές κεφαλαιακές μεταβιβάσεις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18.832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18.399</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21.041</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19.972</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Αποδόσεις περιουσίας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1.376</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1.282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1.253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1.253</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Ασφαλιστικές εισφορές (πραγματικές)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22.409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22.663</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20.589</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21.870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Κοινωνικοί πόροι</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762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764</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606</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421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Αντικριζόμενα έσοδα (καθαρά)</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-54</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έσοδα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294</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252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234</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209</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Έξοδα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41.839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41.561</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43.721</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42.660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Παροχές σε εργαζόμενους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370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384</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350</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354</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Κοινωνικές παροχές </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34.914</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35.040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35.428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35.741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 xml:space="preserve">              εκ των οποίων συντάξεις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29.279</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29.095</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28.881</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29.381</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Κοινωνικές παροχές σε είδος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3.687</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3.651</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3.998</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3.986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Λοιπά έξοδα</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370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598</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534</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556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Επενδυτικές δαπάνες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0</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12</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Μεταβιβάσεις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1.992</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1.500</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2.947</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1.510</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sz w:val="16"/>
                <w:szCs w:val="16"/>
              </w:rPr>
            </w:pPr>
            <w:r w:rsidRPr="00264501">
              <w:rPr>
                <w:rFonts w:ascii="Arial Narrow" w:hAnsi="Arial Narrow"/>
                <w:sz w:val="16"/>
                <w:szCs w:val="16"/>
              </w:rPr>
              <w:t>Επιδοτήσεις</w:t>
            </w: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sz w:val="16"/>
                <w:szCs w:val="16"/>
              </w:rPr>
            </w:pPr>
            <w:r>
              <w:rPr>
                <w:rFonts w:ascii="Arial Narrow" w:hAnsi="Arial Narrow"/>
                <w:sz w:val="16"/>
                <w:szCs w:val="16"/>
              </w:rPr>
              <w:t>506</w:t>
            </w: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377</w:t>
            </w: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453</w:t>
            </w: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sz w:val="16"/>
                <w:szCs w:val="16"/>
              </w:rPr>
            </w:pPr>
            <w:r>
              <w:rPr>
                <w:rFonts w:ascii="Arial Narrow" w:hAnsi="Arial Narrow"/>
                <w:sz w:val="16"/>
                <w:szCs w:val="16"/>
              </w:rPr>
              <w:t>500</w:t>
            </w:r>
          </w:p>
        </w:tc>
      </w:tr>
      <w:tr w:rsidR="0073438C" w:rsidRPr="00264501" w:rsidTr="00FB4673">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ind w:firstLineChars="200" w:firstLine="400"/>
              <w:rPr>
                <w:rFonts w:ascii="Arial Narrow" w:hAnsi="Arial Narrow"/>
                <w:color w:val="000000"/>
                <w:sz w:val="20"/>
                <w:szCs w:val="20"/>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bottom"/>
            <w:hideMark/>
          </w:tcPr>
          <w:p w:rsidR="0073438C" w:rsidRDefault="0073438C" w:rsidP="002545A4">
            <w:pPr>
              <w:ind w:right="170"/>
              <w:jc w:val="right"/>
              <w:rPr>
                <w:rFonts w:ascii="Arial Narrow" w:hAnsi="Arial Narrow"/>
                <w:color w:val="000000"/>
                <w:sz w:val="22"/>
                <w:szCs w:val="22"/>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i/>
                <w:i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Χ. Ισοζύγιο Γενικής Κυβέρνησης κατά ESA (VΙΙ+VIII+IX)</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2.746</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2.308</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-14.699</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-6.920</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ΑΕΠ</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1,5%</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1,2%</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-8,6%</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-3,7%</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ΧΙ. Ενοποιημένοι Τόκοι Γενικής Κυβέρνησης</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5.505</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5.180</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4.976</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4.837</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ΑΕΠ</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2,9%</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2,6%</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2,9%</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2,6%</w:t>
            </w:r>
          </w:p>
        </w:tc>
      </w:tr>
      <w:tr w:rsidR="0073438C" w:rsidRPr="00264501" w:rsidTr="000A385A">
        <w:trPr>
          <w:trHeight w:val="170"/>
        </w:trPr>
        <w:tc>
          <w:tcPr>
            <w:tcW w:w="5454" w:type="dxa"/>
            <w:tcBorders>
              <w:top w:val="nil"/>
              <w:left w:val="single" w:sz="4" w:space="0" w:color="auto"/>
              <w:bottom w:val="nil"/>
              <w:right w:val="nil"/>
            </w:tcBorders>
            <w:shd w:val="clear" w:color="000000" w:fill="FFFFFF"/>
            <w:noWrap/>
            <w:vAlign w:val="center"/>
            <w:hideMark/>
          </w:tcPr>
          <w:p w:rsidR="0073438C" w:rsidRPr="00264501" w:rsidRDefault="0073438C" w:rsidP="00033025">
            <w:pPr>
              <w:rPr>
                <w:rFonts w:ascii="Arial Narrow" w:hAnsi="Arial Narrow"/>
                <w:b/>
                <w:bCs/>
                <w:sz w:val="16"/>
                <w:szCs w:val="16"/>
              </w:rPr>
            </w:pPr>
          </w:p>
        </w:tc>
        <w:tc>
          <w:tcPr>
            <w:tcW w:w="992" w:type="dxa"/>
            <w:tcBorders>
              <w:top w:val="nil"/>
              <w:left w:val="nil"/>
              <w:bottom w:val="nil"/>
              <w:right w:val="nil"/>
            </w:tcBorders>
            <w:shd w:val="clear" w:color="000000" w:fill="FFFFFF"/>
            <w:noWrap/>
            <w:vAlign w:val="center"/>
            <w:hideMark/>
          </w:tcPr>
          <w:p w:rsidR="0073438C" w:rsidRDefault="0073438C" w:rsidP="0073438C">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c>
          <w:tcPr>
            <w:tcW w:w="740" w:type="dxa"/>
            <w:tcBorders>
              <w:top w:val="nil"/>
              <w:left w:val="nil"/>
              <w:bottom w:val="nil"/>
              <w:right w:val="nil"/>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c>
          <w:tcPr>
            <w:tcW w:w="962" w:type="dxa"/>
            <w:tcBorders>
              <w:top w:val="nil"/>
              <w:left w:val="nil"/>
              <w:bottom w:val="nil"/>
              <w:right w:val="single" w:sz="4" w:space="0" w:color="auto"/>
            </w:tcBorders>
            <w:shd w:val="clear" w:color="000000" w:fill="FFFFFF"/>
            <w:noWrap/>
            <w:vAlign w:val="center"/>
            <w:hideMark/>
          </w:tcPr>
          <w:p w:rsidR="0073438C" w:rsidRDefault="0073438C" w:rsidP="002545A4">
            <w:pPr>
              <w:ind w:right="170"/>
              <w:jc w:val="right"/>
              <w:rPr>
                <w:rFonts w:ascii="Arial Narrow" w:hAnsi="Arial Narrow"/>
                <w:b/>
                <w:bCs/>
                <w:sz w:val="16"/>
                <w:szCs w:val="16"/>
              </w:rPr>
            </w:pP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ΧΙΙ. Πρωτογενές αποτέλεσμα Γενικής Κυβέρνησης κατά ESA (Χ+ΧΙ)</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8.251</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7.488</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-9.723</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-2.083</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 ΑΕΠ</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4,4%</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3,8%</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-5,7%</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-1,1%</w:t>
            </w:r>
          </w:p>
        </w:tc>
      </w:tr>
      <w:tr w:rsidR="0073438C" w:rsidRPr="00264501" w:rsidTr="000A385A">
        <w:trPr>
          <w:trHeight w:val="170"/>
        </w:trPr>
        <w:tc>
          <w:tcPr>
            <w:tcW w:w="5454" w:type="dxa"/>
            <w:tcBorders>
              <w:top w:val="nil"/>
              <w:left w:val="single" w:sz="4" w:space="0" w:color="auto"/>
              <w:bottom w:val="nil"/>
              <w:right w:val="nil"/>
            </w:tcBorders>
            <w:shd w:val="clear" w:color="auto" w:fill="D9D9D9"/>
            <w:noWrap/>
            <w:vAlign w:val="center"/>
            <w:hideMark/>
          </w:tcPr>
          <w:p w:rsidR="0073438C" w:rsidRPr="00264501" w:rsidRDefault="0073438C" w:rsidP="00033025">
            <w:pPr>
              <w:rPr>
                <w:rFonts w:ascii="Arial Narrow" w:hAnsi="Arial Narrow"/>
                <w:b/>
                <w:bCs/>
                <w:sz w:val="16"/>
                <w:szCs w:val="16"/>
              </w:rPr>
            </w:pPr>
            <w:r w:rsidRPr="00264501">
              <w:rPr>
                <w:rFonts w:ascii="Arial Narrow" w:hAnsi="Arial Narrow"/>
                <w:b/>
                <w:bCs/>
                <w:sz w:val="16"/>
                <w:szCs w:val="16"/>
              </w:rPr>
              <w:t>ΑΕΠ</w:t>
            </w:r>
          </w:p>
        </w:tc>
        <w:tc>
          <w:tcPr>
            <w:tcW w:w="992" w:type="dxa"/>
            <w:tcBorders>
              <w:top w:val="nil"/>
              <w:left w:val="nil"/>
              <w:bottom w:val="nil"/>
              <w:right w:val="nil"/>
            </w:tcBorders>
            <w:shd w:val="clear" w:color="auto" w:fill="D9D9D9"/>
            <w:noWrap/>
            <w:vAlign w:val="center"/>
            <w:hideMark/>
          </w:tcPr>
          <w:p w:rsidR="0073438C" w:rsidRDefault="0073438C" w:rsidP="0073438C">
            <w:pPr>
              <w:ind w:right="170"/>
              <w:jc w:val="right"/>
              <w:rPr>
                <w:rFonts w:ascii="Arial Narrow" w:hAnsi="Arial Narrow"/>
                <w:b/>
                <w:bCs/>
                <w:sz w:val="16"/>
                <w:szCs w:val="16"/>
              </w:rPr>
            </w:pPr>
            <w:r>
              <w:rPr>
                <w:rFonts w:ascii="Arial Narrow" w:hAnsi="Arial Narrow"/>
                <w:b/>
                <w:bCs/>
                <w:sz w:val="16"/>
                <w:szCs w:val="16"/>
              </w:rPr>
              <w:t>187.456</w:t>
            </w:r>
          </w:p>
        </w:tc>
        <w:tc>
          <w:tcPr>
            <w:tcW w:w="85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197.315</w:t>
            </w:r>
          </w:p>
        </w:tc>
        <w:tc>
          <w:tcPr>
            <w:tcW w:w="740" w:type="dxa"/>
            <w:tcBorders>
              <w:top w:val="nil"/>
              <w:left w:val="nil"/>
              <w:bottom w:val="nil"/>
              <w:right w:val="nil"/>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170.721</w:t>
            </w:r>
          </w:p>
        </w:tc>
        <w:tc>
          <w:tcPr>
            <w:tcW w:w="962" w:type="dxa"/>
            <w:tcBorders>
              <w:top w:val="nil"/>
              <w:left w:val="nil"/>
              <w:bottom w:val="nil"/>
              <w:right w:val="single" w:sz="4" w:space="0" w:color="auto"/>
            </w:tcBorders>
            <w:shd w:val="clear" w:color="auto" w:fill="D9D9D9"/>
            <w:noWrap/>
            <w:vAlign w:val="center"/>
            <w:hideMark/>
          </w:tcPr>
          <w:p w:rsidR="0073438C" w:rsidRDefault="0073438C" w:rsidP="002545A4">
            <w:pPr>
              <w:ind w:right="170"/>
              <w:jc w:val="right"/>
              <w:rPr>
                <w:rFonts w:ascii="Arial Narrow" w:hAnsi="Arial Narrow"/>
                <w:b/>
                <w:bCs/>
                <w:sz w:val="16"/>
                <w:szCs w:val="16"/>
              </w:rPr>
            </w:pPr>
            <w:r>
              <w:rPr>
                <w:rFonts w:ascii="Arial Narrow" w:hAnsi="Arial Narrow"/>
                <w:b/>
                <w:bCs/>
                <w:sz w:val="16"/>
                <w:szCs w:val="16"/>
              </w:rPr>
              <w:t>185.215</w:t>
            </w:r>
          </w:p>
        </w:tc>
      </w:tr>
      <w:tr w:rsidR="00117C9F" w:rsidRPr="00264501" w:rsidTr="000A385A">
        <w:trPr>
          <w:trHeight w:val="170"/>
        </w:trPr>
        <w:tc>
          <w:tcPr>
            <w:tcW w:w="5454" w:type="dxa"/>
            <w:tcBorders>
              <w:top w:val="nil"/>
              <w:left w:val="single" w:sz="4" w:space="0" w:color="auto"/>
              <w:bottom w:val="single" w:sz="4" w:space="0" w:color="auto"/>
              <w:right w:val="nil"/>
            </w:tcBorders>
            <w:shd w:val="clear" w:color="auto" w:fill="auto"/>
            <w:vAlign w:val="center"/>
          </w:tcPr>
          <w:p w:rsidR="00117C9F" w:rsidRPr="00264501" w:rsidRDefault="00117C9F" w:rsidP="00033025">
            <w:pPr>
              <w:spacing w:line="228" w:lineRule="auto"/>
              <w:rPr>
                <w:rFonts w:ascii="Arial Narrow" w:hAnsi="Arial Narrow"/>
                <w:b/>
                <w:bCs/>
                <w:color w:val="000000"/>
                <w:sz w:val="15"/>
                <w:szCs w:val="15"/>
              </w:rPr>
            </w:pPr>
          </w:p>
        </w:tc>
        <w:tc>
          <w:tcPr>
            <w:tcW w:w="992" w:type="dxa"/>
            <w:tcBorders>
              <w:top w:val="nil"/>
              <w:left w:val="nil"/>
              <w:bottom w:val="single" w:sz="4" w:space="0" w:color="auto"/>
              <w:right w:val="nil"/>
            </w:tcBorders>
            <w:shd w:val="clear" w:color="auto" w:fill="auto"/>
            <w:vAlign w:val="center"/>
          </w:tcPr>
          <w:p w:rsidR="00117C9F" w:rsidRPr="00264501" w:rsidRDefault="00117C9F" w:rsidP="00033025">
            <w:pPr>
              <w:spacing w:line="228" w:lineRule="auto"/>
              <w:ind w:right="227"/>
              <w:jc w:val="right"/>
              <w:rPr>
                <w:rFonts w:ascii="Arial Narrow" w:hAnsi="Arial Narrow"/>
                <w:b/>
                <w:bCs/>
                <w:color w:val="000000"/>
                <w:sz w:val="15"/>
                <w:szCs w:val="15"/>
              </w:rPr>
            </w:pPr>
          </w:p>
        </w:tc>
        <w:tc>
          <w:tcPr>
            <w:tcW w:w="850" w:type="dxa"/>
            <w:tcBorders>
              <w:top w:val="nil"/>
              <w:left w:val="nil"/>
              <w:bottom w:val="single" w:sz="4" w:space="0" w:color="auto"/>
              <w:right w:val="nil"/>
            </w:tcBorders>
            <w:shd w:val="clear" w:color="auto" w:fill="auto"/>
            <w:vAlign w:val="center"/>
          </w:tcPr>
          <w:p w:rsidR="00117C9F" w:rsidRPr="00264501" w:rsidRDefault="00117C9F" w:rsidP="00033025">
            <w:pPr>
              <w:spacing w:line="228" w:lineRule="auto"/>
              <w:ind w:right="227"/>
              <w:jc w:val="right"/>
              <w:rPr>
                <w:rFonts w:ascii="Arial Narrow" w:hAnsi="Arial Narrow"/>
                <w:b/>
                <w:bCs/>
                <w:color w:val="000000"/>
                <w:sz w:val="15"/>
                <w:szCs w:val="15"/>
              </w:rPr>
            </w:pPr>
          </w:p>
        </w:tc>
        <w:tc>
          <w:tcPr>
            <w:tcW w:w="740" w:type="dxa"/>
            <w:tcBorders>
              <w:top w:val="nil"/>
              <w:left w:val="nil"/>
              <w:bottom w:val="single" w:sz="4" w:space="0" w:color="auto"/>
              <w:right w:val="nil"/>
            </w:tcBorders>
            <w:shd w:val="clear" w:color="auto" w:fill="auto"/>
            <w:vAlign w:val="center"/>
          </w:tcPr>
          <w:p w:rsidR="00117C9F" w:rsidRPr="00264501" w:rsidRDefault="00117C9F" w:rsidP="00033025">
            <w:pPr>
              <w:spacing w:line="228" w:lineRule="auto"/>
              <w:ind w:right="227"/>
              <w:jc w:val="right"/>
              <w:rPr>
                <w:rFonts w:ascii="Arial Narrow" w:hAnsi="Arial Narrow"/>
                <w:b/>
                <w:bCs/>
                <w:sz w:val="15"/>
                <w:szCs w:val="15"/>
              </w:rPr>
            </w:pPr>
          </w:p>
        </w:tc>
        <w:tc>
          <w:tcPr>
            <w:tcW w:w="962" w:type="dxa"/>
            <w:tcBorders>
              <w:top w:val="nil"/>
              <w:left w:val="nil"/>
              <w:bottom w:val="single" w:sz="4" w:space="0" w:color="auto"/>
              <w:right w:val="single" w:sz="4" w:space="0" w:color="auto"/>
            </w:tcBorders>
            <w:shd w:val="clear" w:color="auto" w:fill="auto"/>
            <w:vAlign w:val="center"/>
          </w:tcPr>
          <w:p w:rsidR="00117C9F" w:rsidRPr="00264501" w:rsidRDefault="00117C9F" w:rsidP="00033025">
            <w:pPr>
              <w:spacing w:line="228" w:lineRule="auto"/>
              <w:ind w:right="227"/>
              <w:jc w:val="right"/>
              <w:rPr>
                <w:rFonts w:ascii="Arial Narrow" w:hAnsi="Arial Narrow"/>
                <w:b/>
                <w:bCs/>
                <w:sz w:val="15"/>
                <w:szCs w:val="15"/>
              </w:rPr>
            </w:pPr>
          </w:p>
        </w:tc>
      </w:tr>
    </w:tbl>
    <w:p w:rsidR="00BA589C" w:rsidRPr="00264501" w:rsidRDefault="00264501" w:rsidP="000A385A">
      <w:pPr>
        <w:ind w:left="284" w:right="-2" w:hanging="142"/>
        <w:rPr>
          <w:rFonts w:ascii="Arial Narrow" w:hAnsi="Arial Narrow"/>
          <w:sz w:val="18"/>
          <w:szCs w:val="18"/>
        </w:rPr>
      </w:pPr>
      <w:r>
        <w:rPr>
          <w:rFonts w:ascii="Arial Narrow" w:hAnsi="Arial Narrow"/>
          <w:sz w:val="18"/>
          <w:szCs w:val="18"/>
          <w:vertAlign w:val="superscript"/>
        </w:rPr>
        <w:t>1</w:t>
      </w:r>
      <w:r w:rsidR="00BA589C" w:rsidRPr="00264501">
        <w:rPr>
          <w:rFonts w:ascii="Arial Narrow" w:hAnsi="Arial Narrow"/>
          <w:sz w:val="18"/>
          <w:szCs w:val="18"/>
          <w:vertAlign w:val="superscript"/>
        </w:rPr>
        <w:tab/>
      </w:r>
      <w:r w:rsidR="00BA589C" w:rsidRPr="00264501">
        <w:rPr>
          <w:rFonts w:ascii="Arial Narrow" w:hAnsi="Arial Narrow"/>
          <w:sz w:val="18"/>
          <w:szCs w:val="18"/>
        </w:rPr>
        <w:t>Τα έσοδα του ΠΔΕ περιέχονται στις μεταβιβάσεις και στα λοιπά τρέχοντα έσοδα, ενώ οι δαπάνες του ΠΔΕ περιέχονται στις πιστώσεις υπό κατανομή.</w:t>
      </w:r>
    </w:p>
    <w:p w:rsidR="00731185" w:rsidRPr="00264501" w:rsidRDefault="00731185" w:rsidP="001F70FF">
      <w:pPr>
        <w:ind w:right="-2"/>
        <w:contextualSpacing/>
        <w:jc w:val="both"/>
        <w:rPr>
          <w:szCs w:val="22"/>
        </w:rPr>
      </w:pPr>
    </w:p>
    <w:tbl>
      <w:tblPr>
        <w:tblW w:w="0" w:type="auto"/>
        <w:tblBorders>
          <w:top w:val="single" w:sz="8" w:space="0" w:color="0000FF"/>
          <w:left w:val="single" w:sz="8" w:space="0" w:color="0000FF"/>
          <w:bottom w:val="single" w:sz="8" w:space="0" w:color="0000FF"/>
          <w:right w:val="single" w:sz="8" w:space="0" w:color="0000FF"/>
        </w:tblBorders>
        <w:tblLook w:val="04A0" w:firstRow="1" w:lastRow="0" w:firstColumn="1" w:lastColumn="0" w:noHBand="0" w:noVBand="1"/>
      </w:tblPr>
      <w:tblGrid>
        <w:gridCol w:w="9286"/>
      </w:tblGrid>
      <w:tr w:rsidR="009B47EC" w:rsidRPr="00264501" w:rsidTr="007D5EBD">
        <w:tc>
          <w:tcPr>
            <w:tcW w:w="9286" w:type="dxa"/>
          </w:tcPr>
          <w:p w:rsidR="00774D65" w:rsidRPr="007D5EBD" w:rsidRDefault="00774D65" w:rsidP="007D5EBD">
            <w:pPr>
              <w:ind w:right="-2"/>
              <w:contextualSpacing/>
              <w:jc w:val="center"/>
              <w:rPr>
                <w:rFonts w:ascii="Arial Narrow" w:hAnsi="Arial Narrow"/>
                <w:b/>
                <w:color w:val="000080"/>
                <w:sz w:val="19"/>
                <w:szCs w:val="19"/>
              </w:rPr>
            </w:pPr>
          </w:p>
          <w:p w:rsidR="009B47EC" w:rsidRPr="007D5EBD" w:rsidRDefault="009B47EC" w:rsidP="007D5EBD">
            <w:pPr>
              <w:ind w:right="-2"/>
              <w:contextualSpacing/>
              <w:jc w:val="center"/>
              <w:rPr>
                <w:rFonts w:ascii="Arial Narrow" w:hAnsi="Arial Narrow"/>
                <w:b/>
                <w:color w:val="000080"/>
                <w:sz w:val="19"/>
                <w:szCs w:val="19"/>
              </w:rPr>
            </w:pPr>
            <w:r w:rsidRPr="007D5EBD">
              <w:rPr>
                <w:rFonts w:ascii="Arial Narrow" w:hAnsi="Arial Narrow"/>
                <w:b/>
                <w:color w:val="000080"/>
                <w:sz w:val="19"/>
                <w:szCs w:val="19"/>
              </w:rPr>
              <w:t>Σημείωση:  Τυχόν  διαφορές ποσών ή ποσοστών στους πίνακες που ακολουθούν οφείλονται σε στρογγυλοποιήσεις.</w:t>
            </w:r>
          </w:p>
          <w:p w:rsidR="00774D65" w:rsidRPr="007D5EBD" w:rsidRDefault="00774D65" w:rsidP="007D5EBD">
            <w:pPr>
              <w:ind w:right="-2"/>
              <w:contextualSpacing/>
              <w:jc w:val="center"/>
              <w:rPr>
                <w:rFonts w:ascii="Arial Narrow" w:hAnsi="Arial Narrow"/>
                <w:b/>
                <w:color w:val="000080"/>
                <w:sz w:val="19"/>
                <w:szCs w:val="19"/>
              </w:rPr>
            </w:pPr>
          </w:p>
        </w:tc>
      </w:tr>
    </w:tbl>
    <w:p w:rsidR="00731185" w:rsidRPr="00264501" w:rsidRDefault="00731185" w:rsidP="001F70FF">
      <w:pPr>
        <w:ind w:right="-2"/>
        <w:contextualSpacing/>
        <w:jc w:val="both"/>
        <w:rPr>
          <w:szCs w:val="22"/>
        </w:rPr>
      </w:pPr>
    </w:p>
    <w:p w:rsidR="00725E79" w:rsidRPr="00264501" w:rsidRDefault="00725E79">
      <w:pPr>
        <w:rPr>
          <w:szCs w:val="22"/>
        </w:rPr>
      </w:pPr>
      <w:r w:rsidRPr="00264501">
        <w:rPr>
          <w:szCs w:val="22"/>
        </w:rPr>
        <w:br w:type="page"/>
      </w:r>
    </w:p>
    <w:tbl>
      <w:tblPr>
        <w:tblW w:w="8997" w:type="dxa"/>
        <w:tblInd w:w="103" w:type="dxa"/>
        <w:tblLayout w:type="fixed"/>
        <w:tblCellMar>
          <w:left w:w="28" w:type="dxa"/>
          <w:right w:w="28" w:type="dxa"/>
        </w:tblCellMar>
        <w:tblLook w:val="04A0" w:firstRow="1" w:lastRow="0" w:firstColumn="1" w:lastColumn="0" w:noHBand="0" w:noVBand="1"/>
      </w:tblPr>
      <w:tblGrid>
        <w:gridCol w:w="320"/>
        <w:gridCol w:w="5121"/>
        <w:gridCol w:w="950"/>
        <w:gridCol w:w="919"/>
        <w:gridCol w:w="767"/>
        <w:gridCol w:w="920"/>
      </w:tblGrid>
      <w:tr w:rsidR="00725E79" w:rsidRPr="00264501" w:rsidTr="00725E79">
        <w:trPr>
          <w:trHeight w:val="20"/>
        </w:trPr>
        <w:tc>
          <w:tcPr>
            <w:tcW w:w="8997" w:type="dxa"/>
            <w:gridSpan w:val="6"/>
            <w:tcBorders>
              <w:top w:val="single" w:sz="4" w:space="0" w:color="auto"/>
              <w:left w:val="single" w:sz="4" w:space="0" w:color="auto"/>
              <w:bottom w:val="nil"/>
              <w:right w:val="single" w:sz="4" w:space="0" w:color="auto"/>
            </w:tcBorders>
            <w:shd w:val="clear" w:color="000000" w:fill="FFFFFF"/>
            <w:vAlign w:val="bottom"/>
            <w:hideMark/>
          </w:tcPr>
          <w:p w:rsidR="00725E79" w:rsidRPr="00264501" w:rsidRDefault="00725E79" w:rsidP="00FB4673">
            <w:pPr>
              <w:jc w:val="center"/>
              <w:rPr>
                <w:rFonts w:ascii="Arial Narrow" w:hAnsi="Arial Narrow"/>
                <w:b/>
                <w:bCs/>
                <w:sz w:val="22"/>
                <w:szCs w:val="22"/>
              </w:rPr>
            </w:pPr>
            <w:bookmarkStart w:id="3" w:name="RANGE!A1:G31"/>
            <w:r w:rsidRPr="00264501">
              <w:rPr>
                <w:rFonts w:ascii="Arial Narrow" w:hAnsi="Arial Narrow"/>
                <w:b/>
                <w:bCs/>
                <w:sz w:val="22"/>
                <w:szCs w:val="22"/>
              </w:rPr>
              <w:t xml:space="preserve">Πίνακας 2.2 Πρωτογενές αποτέλεσμα Γενικής Κυβέρνησης </w:t>
            </w:r>
            <w:bookmarkEnd w:id="3"/>
          </w:p>
        </w:tc>
      </w:tr>
      <w:tr w:rsidR="00725E79" w:rsidRPr="00264501" w:rsidTr="00725E79">
        <w:trPr>
          <w:trHeight w:val="20"/>
        </w:trPr>
        <w:tc>
          <w:tcPr>
            <w:tcW w:w="8997" w:type="dxa"/>
            <w:gridSpan w:val="6"/>
            <w:tcBorders>
              <w:top w:val="nil"/>
              <w:left w:val="single" w:sz="4" w:space="0" w:color="auto"/>
              <w:bottom w:val="nil"/>
              <w:right w:val="single" w:sz="4" w:space="0" w:color="auto"/>
            </w:tcBorders>
            <w:shd w:val="clear" w:color="000000" w:fill="FFFFFF"/>
            <w:vAlign w:val="bottom"/>
            <w:hideMark/>
          </w:tcPr>
          <w:p w:rsidR="00725E79" w:rsidRPr="00264501" w:rsidRDefault="00725E79" w:rsidP="009B27D9">
            <w:pPr>
              <w:jc w:val="center"/>
              <w:rPr>
                <w:rFonts w:ascii="Arial Narrow" w:hAnsi="Arial Narrow"/>
                <w:b/>
                <w:bCs/>
                <w:sz w:val="22"/>
                <w:szCs w:val="22"/>
                <w:vertAlign w:val="superscript"/>
              </w:rPr>
            </w:pPr>
            <w:r w:rsidRPr="00264501">
              <w:rPr>
                <w:rFonts w:ascii="Arial Narrow" w:hAnsi="Arial Narrow"/>
                <w:b/>
                <w:bCs/>
                <w:sz w:val="22"/>
                <w:szCs w:val="22"/>
              </w:rPr>
              <w:t>σύμφωνα με τους όρους της Ενισχυμένης Εποπτείας</w:t>
            </w:r>
          </w:p>
        </w:tc>
      </w:tr>
      <w:tr w:rsidR="00725E79" w:rsidRPr="00264501" w:rsidTr="00725E79">
        <w:trPr>
          <w:trHeight w:val="20"/>
        </w:trPr>
        <w:tc>
          <w:tcPr>
            <w:tcW w:w="8997" w:type="dxa"/>
            <w:gridSpan w:val="6"/>
            <w:tcBorders>
              <w:top w:val="nil"/>
              <w:left w:val="single" w:sz="4" w:space="0" w:color="auto"/>
              <w:bottom w:val="single" w:sz="4" w:space="0" w:color="auto"/>
              <w:right w:val="single" w:sz="4" w:space="0" w:color="auto"/>
            </w:tcBorders>
            <w:shd w:val="clear" w:color="000000" w:fill="FFFFFF"/>
            <w:vAlign w:val="bottom"/>
            <w:hideMark/>
          </w:tcPr>
          <w:p w:rsidR="00725E79" w:rsidRPr="00264501" w:rsidRDefault="00725E79" w:rsidP="00FB4673">
            <w:pPr>
              <w:jc w:val="center"/>
              <w:rPr>
                <w:rFonts w:ascii="Arial Narrow" w:hAnsi="Arial Narrow"/>
                <w:b/>
                <w:bCs/>
                <w:sz w:val="22"/>
                <w:szCs w:val="22"/>
              </w:rPr>
            </w:pPr>
            <w:r w:rsidRPr="00264501">
              <w:rPr>
                <w:rFonts w:ascii="Arial Narrow" w:hAnsi="Arial Narrow"/>
                <w:b/>
                <w:bCs/>
                <w:sz w:val="22"/>
                <w:szCs w:val="22"/>
              </w:rPr>
              <w:t>(σε εκατ. ευρώ)</w:t>
            </w:r>
          </w:p>
        </w:tc>
      </w:tr>
      <w:tr w:rsidR="00725E79" w:rsidRPr="00264501" w:rsidTr="006943FC">
        <w:trPr>
          <w:trHeight w:val="20"/>
        </w:trPr>
        <w:tc>
          <w:tcPr>
            <w:tcW w:w="5441"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725E79" w:rsidRPr="00264501" w:rsidRDefault="00725E79" w:rsidP="00FB4673">
            <w:pPr>
              <w:jc w:val="center"/>
              <w:rPr>
                <w:rFonts w:ascii="Arial Narrow" w:hAnsi="Arial Narrow"/>
                <w:sz w:val="16"/>
                <w:szCs w:val="16"/>
              </w:rPr>
            </w:pPr>
            <w:r w:rsidRPr="00264501">
              <w:rPr>
                <w:rFonts w:ascii="Arial Narrow" w:hAnsi="Arial Narrow"/>
                <w:sz w:val="16"/>
                <w:szCs w:val="16"/>
              </w:rPr>
              <w:t xml:space="preserve"> </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E79" w:rsidRPr="00264501" w:rsidRDefault="00725E79" w:rsidP="00FB4673">
            <w:pPr>
              <w:jc w:val="center"/>
              <w:rPr>
                <w:rFonts w:ascii="Arial Narrow" w:hAnsi="Arial Narrow"/>
                <w:b/>
                <w:bCs/>
                <w:color w:val="000000"/>
                <w:sz w:val="16"/>
                <w:szCs w:val="16"/>
              </w:rPr>
            </w:pPr>
            <w:r w:rsidRPr="00264501">
              <w:rPr>
                <w:rFonts w:ascii="Arial Narrow" w:hAnsi="Arial Narrow"/>
                <w:b/>
                <w:bCs/>
                <w:color w:val="000000"/>
                <w:sz w:val="16"/>
                <w:szCs w:val="16"/>
              </w:rPr>
              <w:t>201</w:t>
            </w:r>
            <w:r w:rsidR="009B27D9">
              <w:rPr>
                <w:rFonts w:ascii="Arial Narrow" w:hAnsi="Arial Narrow"/>
                <w:b/>
                <w:bCs/>
                <w:color w:val="000000"/>
                <w:sz w:val="16"/>
                <w:szCs w:val="16"/>
              </w:rPr>
              <w:t>9</w:t>
            </w:r>
          </w:p>
        </w:tc>
        <w:tc>
          <w:tcPr>
            <w:tcW w:w="16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5E79" w:rsidRPr="00264501" w:rsidRDefault="00725E79" w:rsidP="00FB4673">
            <w:pPr>
              <w:jc w:val="center"/>
              <w:rPr>
                <w:rFonts w:ascii="Arial Narrow" w:hAnsi="Arial Narrow"/>
                <w:b/>
                <w:bCs/>
                <w:color w:val="000000"/>
                <w:sz w:val="16"/>
                <w:szCs w:val="16"/>
              </w:rPr>
            </w:pPr>
            <w:r w:rsidRPr="00264501">
              <w:rPr>
                <w:rFonts w:ascii="Arial Narrow" w:hAnsi="Arial Narrow"/>
                <w:b/>
                <w:bCs/>
                <w:color w:val="000000"/>
                <w:sz w:val="16"/>
                <w:szCs w:val="16"/>
              </w:rPr>
              <w:t>20</w:t>
            </w:r>
            <w:r w:rsidR="009B27D9">
              <w:rPr>
                <w:rFonts w:ascii="Arial Narrow" w:hAnsi="Arial Narrow"/>
                <w:b/>
                <w:bCs/>
                <w:color w:val="000000"/>
                <w:sz w:val="16"/>
                <w:szCs w:val="16"/>
              </w:rPr>
              <w:t>20</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E79" w:rsidRPr="00264501" w:rsidRDefault="009B27D9" w:rsidP="00FB4673">
            <w:pPr>
              <w:jc w:val="center"/>
              <w:rPr>
                <w:rFonts w:ascii="Arial Narrow" w:hAnsi="Arial Narrow"/>
                <w:b/>
                <w:bCs/>
                <w:sz w:val="16"/>
                <w:szCs w:val="16"/>
              </w:rPr>
            </w:pPr>
            <w:r>
              <w:rPr>
                <w:rFonts w:ascii="Arial Narrow" w:hAnsi="Arial Narrow"/>
                <w:b/>
                <w:bCs/>
                <w:sz w:val="16"/>
                <w:szCs w:val="16"/>
              </w:rPr>
              <w:t>2021</w:t>
            </w:r>
          </w:p>
        </w:tc>
      </w:tr>
      <w:tr w:rsidR="00725E79" w:rsidRPr="00264501" w:rsidTr="004868D8">
        <w:trPr>
          <w:trHeight w:val="20"/>
        </w:trPr>
        <w:tc>
          <w:tcPr>
            <w:tcW w:w="5441" w:type="dxa"/>
            <w:gridSpan w:val="2"/>
            <w:vMerge/>
            <w:tcBorders>
              <w:top w:val="single" w:sz="4" w:space="0" w:color="auto"/>
              <w:left w:val="single" w:sz="4" w:space="0" w:color="auto"/>
              <w:bottom w:val="single" w:sz="4" w:space="0" w:color="000000"/>
              <w:right w:val="nil"/>
            </w:tcBorders>
            <w:vAlign w:val="center"/>
            <w:hideMark/>
          </w:tcPr>
          <w:p w:rsidR="00725E79" w:rsidRPr="00264501" w:rsidRDefault="00725E79" w:rsidP="00FB4673">
            <w:pPr>
              <w:rPr>
                <w:rFonts w:ascii="Arial Narrow" w:hAnsi="Arial Narrow"/>
                <w:sz w:val="16"/>
                <w:szCs w:val="16"/>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68D8" w:rsidRDefault="004868D8" w:rsidP="004868D8">
            <w:pPr>
              <w:spacing w:line="228" w:lineRule="auto"/>
              <w:jc w:val="center"/>
              <w:rPr>
                <w:rFonts w:ascii="Arial Narrow" w:hAnsi="Arial Narrow"/>
                <w:b/>
                <w:bCs/>
                <w:sz w:val="16"/>
                <w:szCs w:val="16"/>
              </w:rPr>
            </w:pPr>
            <w:r>
              <w:rPr>
                <w:rFonts w:ascii="Arial Narrow" w:hAnsi="Arial Narrow"/>
                <w:b/>
                <w:bCs/>
                <w:sz w:val="16"/>
                <w:szCs w:val="16"/>
              </w:rPr>
              <w:t>ΔΥΕ Απριλίου</w:t>
            </w:r>
          </w:p>
          <w:p w:rsidR="00725E79" w:rsidRPr="00264501" w:rsidRDefault="004868D8" w:rsidP="004868D8">
            <w:pPr>
              <w:jc w:val="center"/>
              <w:rPr>
                <w:rFonts w:ascii="Arial Narrow" w:hAnsi="Arial Narrow"/>
                <w:b/>
                <w:bCs/>
                <w:color w:val="000000"/>
                <w:sz w:val="16"/>
                <w:szCs w:val="16"/>
              </w:rPr>
            </w:pPr>
            <w:r>
              <w:rPr>
                <w:rFonts w:ascii="Arial Narrow" w:hAnsi="Arial Narrow"/>
                <w:b/>
                <w:bCs/>
                <w:sz w:val="16"/>
                <w:szCs w:val="16"/>
              </w:rPr>
              <w:t>2020</w:t>
            </w:r>
          </w:p>
        </w:tc>
        <w:tc>
          <w:tcPr>
            <w:tcW w:w="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E79" w:rsidRPr="00264501" w:rsidRDefault="00725E79" w:rsidP="00FB4673">
            <w:pPr>
              <w:jc w:val="center"/>
              <w:rPr>
                <w:rFonts w:ascii="Arial Narrow" w:hAnsi="Arial Narrow"/>
                <w:b/>
                <w:bCs/>
                <w:color w:val="000000"/>
                <w:sz w:val="16"/>
                <w:szCs w:val="16"/>
              </w:rPr>
            </w:pPr>
            <w:proofErr w:type="spellStart"/>
            <w:r w:rsidRPr="00264501">
              <w:rPr>
                <w:rFonts w:ascii="Arial Narrow" w:hAnsi="Arial Narrow"/>
                <w:b/>
                <w:bCs/>
                <w:color w:val="000000"/>
                <w:sz w:val="16"/>
                <w:szCs w:val="16"/>
              </w:rPr>
              <w:t>Προϋπ</w:t>
            </w:r>
            <w:proofErr w:type="spellEnd"/>
            <w:r w:rsidRPr="00264501">
              <w:rPr>
                <w:rFonts w:ascii="Arial Narrow" w:hAnsi="Arial Narrow"/>
                <w:b/>
                <w:bCs/>
                <w:color w:val="000000"/>
                <w:sz w:val="16"/>
                <w:szCs w:val="16"/>
              </w:rPr>
              <w:t>/</w:t>
            </w:r>
            <w:proofErr w:type="spellStart"/>
            <w:r w:rsidRPr="00264501">
              <w:rPr>
                <w:rFonts w:ascii="Arial Narrow" w:hAnsi="Arial Narrow"/>
                <w:b/>
                <w:bCs/>
                <w:color w:val="000000"/>
                <w:sz w:val="16"/>
                <w:szCs w:val="16"/>
              </w:rPr>
              <w:t>σμός</w:t>
            </w:r>
            <w:proofErr w:type="spellEnd"/>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E79" w:rsidRPr="00264501" w:rsidRDefault="00725E79" w:rsidP="00FB4673">
            <w:pPr>
              <w:jc w:val="center"/>
              <w:rPr>
                <w:rFonts w:ascii="Arial Narrow" w:hAnsi="Arial Narrow"/>
                <w:b/>
                <w:bCs/>
                <w:sz w:val="16"/>
                <w:szCs w:val="16"/>
              </w:rPr>
            </w:pPr>
            <w:r w:rsidRPr="00264501">
              <w:rPr>
                <w:rFonts w:ascii="Arial Narrow" w:hAnsi="Arial Narrow"/>
                <w:b/>
                <w:bCs/>
                <w:sz w:val="16"/>
                <w:szCs w:val="16"/>
              </w:rPr>
              <w:t>Εκτίμηση</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E79" w:rsidRPr="00264501" w:rsidRDefault="00725E79" w:rsidP="00FB4673">
            <w:pPr>
              <w:jc w:val="center"/>
              <w:rPr>
                <w:rFonts w:ascii="Arial Narrow" w:hAnsi="Arial Narrow"/>
                <w:b/>
                <w:bCs/>
                <w:sz w:val="16"/>
                <w:szCs w:val="16"/>
              </w:rPr>
            </w:pPr>
            <w:r w:rsidRPr="00264501">
              <w:rPr>
                <w:rFonts w:ascii="Arial Narrow" w:hAnsi="Arial Narrow"/>
                <w:b/>
                <w:bCs/>
                <w:sz w:val="16"/>
                <w:szCs w:val="16"/>
              </w:rPr>
              <w:t>Πρόβλεψη</w:t>
            </w:r>
          </w:p>
        </w:tc>
      </w:tr>
      <w:tr w:rsidR="00725E79" w:rsidRPr="00264501" w:rsidTr="004868D8">
        <w:trPr>
          <w:trHeight w:val="20"/>
        </w:trPr>
        <w:tc>
          <w:tcPr>
            <w:tcW w:w="320" w:type="dxa"/>
            <w:tcBorders>
              <w:top w:val="nil"/>
              <w:left w:val="single" w:sz="4" w:space="0" w:color="auto"/>
              <w:bottom w:val="nil"/>
              <w:right w:val="nil"/>
            </w:tcBorders>
            <w:shd w:val="clear" w:color="000000" w:fill="FFFFFF"/>
            <w:hideMark/>
          </w:tcPr>
          <w:p w:rsidR="00725E79" w:rsidRPr="00264501" w:rsidRDefault="00725E79" w:rsidP="00FB4673">
            <w:pPr>
              <w:jc w:val="center"/>
              <w:rPr>
                <w:rFonts w:ascii="Arial Narrow" w:hAnsi="Arial Narrow"/>
                <w:b/>
                <w:bCs/>
                <w:i/>
                <w:iCs/>
                <w:color w:val="000000"/>
                <w:sz w:val="15"/>
                <w:szCs w:val="15"/>
              </w:rPr>
            </w:pPr>
            <w:r w:rsidRPr="00264501">
              <w:rPr>
                <w:rFonts w:ascii="Arial Narrow" w:hAnsi="Arial Narrow"/>
                <w:b/>
                <w:bCs/>
                <w:i/>
                <w:iCs/>
                <w:color w:val="000000"/>
                <w:sz w:val="15"/>
                <w:szCs w:val="15"/>
              </w:rPr>
              <w:t> </w:t>
            </w:r>
          </w:p>
        </w:tc>
        <w:tc>
          <w:tcPr>
            <w:tcW w:w="5121" w:type="dxa"/>
            <w:tcBorders>
              <w:top w:val="nil"/>
              <w:left w:val="nil"/>
              <w:bottom w:val="nil"/>
              <w:right w:val="nil"/>
            </w:tcBorders>
            <w:shd w:val="clear" w:color="000000" w:fill="FFFFFF"/>
            <w:vAlign w:val="center"/>
            <w:hideMark/>
          </w:tcPr>
          <w:p w:rsidR="00725E79" w:rsidRPr="00264501" w:rsidRDefault="00725E79" w:rsidP="00FB4673">
            <w:pPr>
              <w:jc w:val="center"/>
              <w:rPr>
                <w:rFonts w:ascii="Arial Narrow" w:hAnsi="Arial Narrow"/>
                <w:b/>
                <w:bCs/>
                <w:i/>
                <w:iCs/>
                <w:color w:val="000000"/>
                <w:sz w:val="15"/>
                <w:szCs w:val="15"/>
              </w:rPr>
            </w:pPr>
            <w:r w:rsidRPr="00264501">
              <w:rPr>
                <w:rFonts w:ascii="Arial Narrow" w:hAnsi="Arial Narrow"/>
                <w:b/>
                <w:bCs/>
                <w:i/>
                <w:iCs/>
                <w:color w:val="000000"/>
                <w:sz w:val="15"/>
                <w:szCs w:val="15"/>
              </w:rPr>
              <w:t> </w:t>
            </w:r>
          </w:p>
        </w:tc>
        <w:tc>
          <w:tcPr>
            <w:tcW w:w="950" w:type="dxa"/>
            <w:tcBorders>
              <w:top w:val="nil"/>
              <w:left w:val="nil"/>
              <w:bottom w:val="nil"/>
              <w:right w:val="nil"/>
            </w:tcBorders>
            <w:shd w:val="clear" w:color="000000" w:fill="FFFFFF"/>
            <w:vAlign w:val="center"/>
            <w:hideMark/>
          </w:tcPr>
          <w:p w:rsidR="00725E79" w:rsidRPr="00264501" w:rsidRDefault="00725E79" w:rsidP="00FB4673">
            <w:pPr>
              <w:rPr>
                <w:rFonts w:ascii="Arial Narrow" w:hAnsi="Arial Narrow"/>
                <w:b/>
                <w:bCs/>
                <w:sz w:val="15"/>
                <w:szCs w:val="15"/>
              </w:rPr>
            </w:pPr>
            <w:r w:rsidRPr="00264501">
              <w:rPr>
                <w:rFonts w:ascii="Arial Narrow" w:hAnsi="Arial Narrow"/>
                <w:b/>
                <w:bCs/>
                <w:sz w:val="15"/>
                <w:szCs w:val="15"/>
              </w:rPr>
              <w:t> </w:t>
            </w:r>
          </w:p>
        </w:tc>
        <w:tc>
          <w:tcPr>
            <w:tcW w:w="919" w:type="dxa"/>
            <w:tcBorders>
              <w:top w:val="nil"/>
              <w:left w:val="nil"/>
              <w:bottom w:val="nil"/>
              <w:right w:val="nil"/>
            </w:tcBorders>
            <w:shd w:val="clear" w:color="000000" w:fill="FFFFFF"/>
            <w:vAlign w:val="center"/>
            <w:hideMark/>
          </w:tcPr>
          <w:p w:rsidR="00725E79" w:rsidRPr="00264501" w:rsidRDefault="00725E79" w:rsidP="00FB4673">
            <w:pPr>
              <w:rPr>
                <w:rFonts w:ascii="Arial Narrow" w:hAnsi="Arial Narrow"/>
                <w:b/>
                <w:bCs/>
                <w:color w:val="0000FF"/>
                <w:sz w:val="15"/>
                <w:szCs w:val="15"/>
              </w:rPr>
            </w:pPr>
            <w:r w:rsidRPr="00264501">
              <w:rPr>
                <w:rFonts w:ascii="Arial Narrow" w:hAnsi="Arial Narrow"/>
                <w:b/>
                <w:bCs/>
                <w:color w:val="0000FF"/>
                <w:sz w:val="15"/>
                <w:szCs w:val="15"/>
              </w:rPr>
              <w:t> </w:t>
            </w:r>
          </w:p>
        </w:tc>
        <w:tc>
          <w:tcPr>
            <w:tcW w:w="767" w:type="dxa"/>
            <w:tcBorders>
              <w:top w:val="nil"/>
              <w:left w:val="nil"/>
              <w:bottom w:val="nil"/>
              <w:right w:val="nil"/>
            </w:tcBorders>
            <w:shd w:val="clear" w:color="000000" w:fill="FFFFFF"/>
            <w:vAlign w:val="center"/>
            <w:hideMark/>
          </w:tcPr>
          <w:p w:rsidR="00725E79" w:rsidRPr="00264501" w:rsidRDefault="00725E79" w:rsidP="00FB4673">
            <w:pPr>
              <w:rPr>
                <w:rFonts w:ascii="Arial Narrow" w:hAnsi="Arial Narrow"/>
                <w:b/>
                <w:bCs/>
                <w:sz w:val="15"/>
                <w:szCs w:val="15"/>
              </w:rPr>
            </w:pPr>
            <w:r w:rsidRPr="00264501">
              <w:rPr>
                <w:rFonts w:ascii="Arial Narrow" w:hAnsi="Arial Narrow"/>
                <w:b/>
                <w:bCs/>
                <w:sz w:val="15"/>
                <w:szCs w:val="15"/>
              </w:rPr>
              <w:t> </w:t>
            </w:r>
          </w:p>
        </w:tc>
        <w:tc>
          <w:tcPr>
            <w:tcW w:w="920" w:type="dxa"/>
            <w:tcBorders>
              <w:top w:val="nil"/>
              <w:left w:val="nil"/>
              <w:bottom w:val="nil"/>
              <w:right w:val="single" w:sz="4" w:space="0" w:color="auto"/>
            </w:tcBorders>
            <w:shd w:val="clear" w:color="000000" w:fill="FFFFFF"/>
            <w:vAlign w:val="center"/>
            <w:hideMark/>
          </w:tcPr>
          <w:p w:rsidR="00725E79" w:rsidRPr="00264501" w:rsidRDefault="00725E79" w:rsidP="00FB4673">
            <w:pPr>
              <w:rPr>
                <w:rFonts w:ascii="Arial Narrow" w:hAnsi="Arial Narrow"/>
                <w:sz w:val="15"/>
                <w:szCs w:val="15"/>
              </w:rPr>
            </w:pPr>
          </w:p>
        </w:tc>
      </w:tr>
      <w:tr w:rsidR="004868D8" w:rsidRPr="00264501" w:rsidTr="004868D8">
        <w:trPr>
          <w:trHeight w:val="20"/>
        </w:trPr>
        <w:tc>
          <w:tcPr>
            <w:tcW w:w="320" w:type="dxa"/>
            <w:tcBorders>
              <w:top w:val="nil"/>
              <w:left w:val="single" w:sz="4" w:space="0" w:color="auto"/>
              <w:bottom w:val="nil"/>
              <w:right w:val="nil"/>
            </w:tcBorders>
            <w:shd w:val="clear" w:color="000000" w:fill="D8D8D8"/>
            <w:hideMark/>
          </w:tcPr>
          <w:p w:rsidR="004868D8" w:rsidRPr="00264501" w:rsidRDefault="004868D8" w:rsidP="00FB4673">
            <w:pPr>
              <w:jc w:val="center"/>
              <w:rPr>
                <w:rFonts w:ascii="Arial Narrow" w:hAnsi="Arial Narrow"/>
                <w:b/>
                <w:bCs/>
                <w:sz w:val="15"/>
                <w:szCs w:val="15"/>
              </w:rPr>
            </w:pPr>
            <w:r w:rsidRPr="00264501">
              <w:rPr>
                <w:rFonts w:ascii="Arial Narrow" w:hAnsi="Arial Narrow"/>
                <w:b/>
                <w:bCs/>
                <w:sz w:val="15"/>
                <w:szCs w:val="15"/>
              </w:rPr>
              <w:t>Ι.</w:t>
            </w:r>
          </w:p>
        </w:tc>
        <w:tc>
          <w:tcPr>
            <w:tcW w:w="5121" w:type="dxa"/>
            <w:tcBorders>
              <w:top w:val="nil"/>
              <w:left w:val="nil"/>
              <w:bottom w:val="nil"/>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Πρωτογενές αποτέλεσμα Γενικής Κυβέρνησης κατά ESA</w:t>
            </w:r>
          </w:p>
        </w:tc>
        <w:tc>
          <w:tcPr>
            <w:tcW w:w="950" w:type="dxa"/>
            <w:tcBorders>
              <w:top w:val="nil"/>
              <w:left w:val="nil"/>
              <w:bottom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8.251</w:t>
            </w:r>
          </w:p>
        </w:tc>
        <w:tc>
          <w:tcPr>
            <w:tcW w:w="919"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7.488</w:t>
            </w:r>
          </w:p>
        </w:tc>
        <w:tc>
          <w:tcPr>
            <w:tcW w:w="767"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-9.723</w:t>
            </w:r>
          </w:p>
        </w:tc>
        <w:tc>
          <w:tcPr>
            <w:tcW w:w="920" w:type="dxa"/>
            <w:tcBorders>
              <w:top w:val="nil"/>
              <w:left w:val="nil"/>
              <w:bottom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-2.083</w:t>
            </w: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 </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b/>
                <w:bCs/>
                <w:color w:val="000000"/>
                <w:sz w:val="16"/>
                <w:szCs w:val="16"/>
              </w:rPr>
            </w:pPr>
            <w:r>
              <w:rPr>
                <w:rFonts w:ascii="Arial Narrow" w:hAnsi="Arial Narrow"/>
                <w:b/>
                <w:bCs/>
                <w:color w:val="000000"/>
                <w:sz w:val="16"/>
                <w:szCs w:val="16"/>
              </w:rPr>
              <w:t> </w:t>
            </w: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b/>
                <w:bCs/>
                <w:color w:val="000000"/>
                <w:sz w:val="16"/>
                <w:szCs w:val="16"/>
              </w:rPr>
            </w:pPr>
            <w:r>
              <w:rPr>
                <w:rFonts w:ascii="Arial Narrow" w:hAnsi="Arial Narrow"/>
                <w:b/>
                <w:bCs/>
                <w:color w:val="000000"/>
                <w:sz w:val="16"/>
                <w:szCs w:val="16"/>
              </w:rPr>
              <w:t> </w:t>
            </w: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b/>
                <w:bCs/>
                <w:color w:val="000000"/>
                <w:sz w:val="16"/>
                <w:szCs w:val="16"/>
              </w:rPr>
            </w:pPr>
            <w:r>
              <w:rPr>
                <w:rFonts w:ascii="Arial Narrow" w:hAnsi="Arial Narrow"/>
                <w:b/>
                <w:bCs/>
                <w:color w:val="000000"/>
                <w:sz w:val="16"/>
                <w:szCs w:val="16"/>
              </w:rPr>
              <w:t> </w:t>
            </w: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b/>
                <w:bCs/>
                <w:color w:val="000000"/>
                <w:sz w:val="16"/>
                <w:szCs w:val="16"/>
              </w:rPr>
            </w:pPr>
            <w:r>
              <w:rPr>
                <w:rFonts w:ascii="Arial Narrow" w:hAnsi="Arial Narrow"/>
                <w:b/>
                <w:bCs/>
                <w:color w:val="000000"/>
                <w:sz w:val="16"/>
                <w:szCs w:val="16"/>
              </w:rPr>
              <w:t> </w:t>
            </w:r>
          </w:p>
        </w:tc>
      </w:tr>
      <w:tr w:rsidR="004868D8" w:rsidRPr="00264501" w:rsidTr="004868D8">
        <w:trPr>
          <w:trHeight w:val="20"/>
        </w:trPr>
        <w:tc>
          <w:tcPr>
            <w:tcW w:w="320" w:type="dxa"/>
            <w:tcBorders>
              <w:top w:val="nil"/>
              <w:left w:val="single" w:sz="4" w:space="0" w:color="auto"/>
              <w:bottom w:val="nil"/>
              <w:right w:val="nil"/>
            </w:tcBorders>
            <w:shd w:val="clear" w:color="000000" w:fill="D8D8D8"/>
            <w:hideMark/>
          </w:tcPr>
          <w:p w:rsidR="004868D8" w:rsidRPr="00264501" w:rsidRDefault="004868D8" w:rsidP="00FB4673">
            <w:pPr>
              <w:jc w:val="center"/>
              <w:rPr>
                <w:rFonts w:ascii="Arial Narrow" w:hAnsi="Arial Narrow"/>
                <w:b/>
                <w:bCs/>
                <w:sz w:val="15"/>
                <w:szCs w:val="15"/>
              </w:rPr>
            </w:pPr>
            <w:r w:rsidRPr="00264501">
              <w:rPr>
                <w:rFonts w:ascii="Arial Narrow" w:hAnsi="Arial Narrow"/>
                <w:b/>
                <w:bCs/>
                <w:sz w:val="15"/>
                <w:szCs w:val="15"/>
              </w:rPr>
              <w:t>ΙΙ.</w:t>
            </w:r>
          </w:p>
        </w:tc>
        <w:tc>
          <w:tcPr>
            <w:tcW w:w="5121" w:type="dxa"/>
            <w:tcBorders>
              <w:top w:val="nil"/>
              <w:left w:val="nil"/>
              <w:bottom w:val="nil"/>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Προσαρμογές ενισχυμένης εποπτείας</w:t>
            </w:r>
          </w:p>
        </w:tc>
        <w:tc>
          <w:tcPr>
            <w:tcW w:w="950" w:type="dxa"/>
            <w:tcBorders>
              <w:top w:val="nil"/>
              <w:left w:val="nil"/>
              <w:bottom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-1.694</w:t>
            </w:r>
          </w:p>
        </w:tc>
        <w:tc>
          <w:tcPr>
            <w:tcW w:w="919"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-418</w:t>
            </w:r>
          </w:p>
        </w:tc>
        <w:tc>
          <w:tcPr>
            <w:tcW w:w="767"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-920</w:t>
            </w:r>
          </w:p>
        </w:tc>
        <w:tc>
          <w:tcPr>
            <w:tcW w:w="920" w:type="dxa"/>
            <w:tcBorders>
              <w:top w:val="nil"/>
              <w:left w:val="nil"/>
              <w:bottom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222</w:t>
            </w: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bottom w:val="nil"/>
              <w:right w:val="nil"/>
            </w:tcBorders>
            <w:shd w:val="clear" w:color="000000" w:fill="FFFFFF"/>
            <w:vAlign w:val="center"/>
            <w:hideMark/>
          </w:tcPr>
          <w:p w:rsidR="004868D8" w:rsidRPr="00261D58" w:rsidRDefault="004868D8" w:rsidP="00FB4673">
            <w:pPr>
              <w:rPr>
                <w:rFonts w:ascii="Arial Narrow" w:hAnsi="Arial Narrow"/>
                <w:sz w:val="15"/>
                <w:szCs w:val="15"/>
              </w:rPr>
            </w:pPr>
            <w:r w:rsidRPr="00264501">
              <w:rPr>
                <w:rFonts w:ascii="Arial Narrow" w:hAnsi="Arial Narrow"/>
                <w:sz w:val="15"/>
                <w:szCs w:val="15"/>
              </w:rPr>
              <w:t xml:space="preserve">Μεταφορά εσόδων από ANFA και SMP </w:t>
            </w:r>
            <w:r>
              <w:rPr>
                <w:rFonts w:ascii="Arial Narrow" w:hAnsi="Arial Narrow"/>
                <w:sz w:val="15"/>
                <w:szCs w:val="15"/>
              </w:rPr>
              <w:t xml:space="preserve">και επιστροφή τόκων </w:t>
            </w:r>
            <w:r>
              <w:rPr>
                <w:rFonts w:ascii="Arial Narrow" w:hAnsi="Arial Narrow"/>
                <w:sz w:val="15"/>
                <w:szCs w:val="15"/>
                <w:lang w:val="en-US"/>
              </w:rPr>
              <w:t>EFSF</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color w:val="000000"/>
                <w:sz w:val="16"/>
                <w:szCs w:val="16"/>
              </w:rPr>
            </w:pPr>
            <w:r>
              <w:rPr>
                <w:rFonts w:ascii="Arial Narrow" w:hAnsi="Arial Narrow"/>
                <w:color w:val="000000"/>
                <w:sz w:val="16"/>
                <w:szCs w:val="16"/>
              </w:rPr>
              <w:t>-1.683</w:t>
            </w: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-251</w:t>
            </w: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-999</w:t>
            </w: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-163</w:t>
            </w:r>
          </w:p>
        </w:tc>
      </w:tr>
      <w:tr w:rsidR="004868D8" w:rsidRPr="00264501" w:rsidTr="004868D8">
        <w:trPr>
          <w:trHeight w:val="52"/>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sz w:val="15"/>
                <w:szCs w:val="15"/>
              </w:rPr>
            </w:pPr>
            <w:r w:rsidRPr="00264501">
              <w:rPr>
                <w:rFonts w:ascii="Arial Narrow" w:hAnsi="Arial Narrow"/>
                <w:sz w:val="15"/>
                <w:szCs w:val="15"/>
              </w:rPr>
              <w:t>Επιστροφές εσόδων</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color w:val="000000"/>
                <w:sz w:val="16"/>
                <w:szCs w:val="16"/>
              </w:rPr>
            </w:pPr>
            <w:r>
              <w:rPr>
                <w:rFonts w:ascii="Arial Narrow" w:hAnsi="Arial Narrow"/>
                <w:color w:val="000000"/>
                <w:sz w:val="16"/>
                <w:szCs w:val="16"/>
              </w:rPr>
              <w:t>101</w:t>
            </w: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0</w:t>
            </w: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0</w:t>
            </w: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0</w:t>
            </w: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sz w:val="15"/>
                <w:szCs w:val="15"/>
              </w:rPr>
            </w:pPr>
            <w:r w:rsidRPr="00264501">
              <w:rPr>
                <w:rFonts w:ascii="Arial Narrow" w:hAnsi="Arial Narrow"/>
                <w:sz w:val="15"/>
                <w:szCs w:val="15"/>
              </w:rPr>
              <w:t>Έσοδα αποκρατικοποιήσεων</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color w:val="000000"/>
                <w:sz w:val="16"/>
                <w:szCs w:val="16"/>
              </w:rPr>
            </w:pPr>
            <w:r>
              <w:rPr>
                <w:rFonts w:ascii="Arial Narrow" w:hAnsi="Arial Narrow"/>
                <w:color w:val="000000"/>
                <w:sz w:val="16"/>
                <w:szCs w:val="16"/>
              </w:rPr>
              <w:t>-4</w:t>
            </w: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-332</w:t>
            </w: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-326</w:t>
            </w: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-30</w:t>
            </w: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sz w:val="15"/>
                <w:szCs w:val="15"/>
              </w:rPr>
            </w:pPr>
            <w:r w:rsidRPr="00264501">
              <w:rPr>
                <w:rFonts w:ascii="Arial Narrow" w:hAnsi="Arial Narrow"/>
                <w:sz w:val="15"/>
                <w:szCs w:val="15"/>
              </w:rPr>
              <w:t>Δαπάνες μεταναστευτικών ροών μη αντικριζόμενες</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color w:val="000000"/>
                <w:sz w:val="16"/>
                <w:szCs w:val="16"/>
              </w:rPr>
            </w:pPr>
            <w:r>
              <w:rPr>
                <w:rFonts w:ascii="Arial Narrow" w:hAnsi="Arial Narrow"/>
                <w:color w:val="000000"/>
                <w:sz w:val="16"/>
                <w:szCs w:val="16"/>
              </w:rPr>
              <w:t>126</w:t>
            </w: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165</w:t>
            </w: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405</w:t>
            </w: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414</w:t>
            </w: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sz w:val="15"/>
                <w:szCs w:val="15"/>
              </w:rPr>
            </w:pPr>
            <w:r w:rsidRPr="00264501">
              <w:rPr>
                <w:rFonts w:ascii="Arial Narrow" w:hAnsi="Arial Narrow"/>
                <w:sz w:val="15"/>
                <w:szCs w:val="15"/>
              </w:rPr>
              <w:t>Στήριξη χρηματοπιστωτικών ιδρυμάτων </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color w:val="000000"/>
                <w:sz w:val="16"/>
                <w:szCs w:val="16"/>
              </w:rPr>
            </w:pPr>
            <w:r>
              <w:rPr>
                <w:rFonts w:ascii="Arial Narrow" w:hAnsi="Arial Narrow"/>
                <w:color w:val="000000"/>
                <w:sz w:val="16"/>
                <w:szCs w:val="16"/>
              </w:rPr>
              <w:t>-233</w:t>
            </w: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r>
              <w:rPr>
                <w:rFonts w:ascii="Arial Narrow" w:hAnsi="Arial Narrow"/>
                <w:color w:val="000000"/>
                <w:sz w:val="16"/>
                <w:szCs w:val="16"/>
              </w:rPr>
              <w:t>0</w:t>
            </w: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 </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color w:val="000000"/>
                <w:sz w:val="16"/>
                <w:szCs w:val="16"/>
              </w:rPr>
            </w:pP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color w:val="000000"/>
                <w:sz w:val="16"/>
                <w:szCs w:val="16"/>
              </w:rPr>
            </w:pPr>
          </w:p>
        </w:tc>
      </w:tr>
      <w:tr w:rsidR="004868D8" w:rsidRPr="00264501" w:rsidTr="004868D8">
        <w:trPr>
          <w:trHeight w:val="20"/>
        </w:trPr>
        <w:tc>
          <w:tcPr>
            <w:tcW w:w="320" w:type="dxa"/>
            <w:tcBorders>
              <w:top w:val="nil"/>
              <w:left w:val="single" w:sz="4" w:space="0" w:color="auto"/>
              <w:bottom w:val="nil"/>
              <w:right w:val="nil"/>
            </w:tcBorders>
            <w:shd w:val="clear" w:color="000000" w:fill="D8D8D8"/>
            <w:hideMark/>
          </w:tcPr>
          <w:p w:rsidR="004868D8" w:rsidRPr="00264501" w:rsidRDefault="004868D8" w:rsidP="00FB4673">
            <w:pPr>
              <w:jc w:val="center"/>
              <w:rPr>
                <w:rFonts w:ascii="Arial Narrow" w:hAnsi="Arial Narrow"/>
                <w:b/>
                <w:bCs/>
                <w:sz w:val="15"/>
                <w:szCs w:val="15"/>
              </w:rPr>
            </w:pPr>
            <w:r w:rsidRPr="00264501">
              <w:rPr>
                <w:rFonts w:ascii="Arial Narrow" w:hAnsi="Arial Narrow"/>
                <w:b/>
                <w:bCs/>
                <w:sz w:val="15"/>
                <w:szCs w:val="15"/>
              </w:rPr>
              <w:t>ΙΙΙ.</w:t>
            </w:r>
          </w:p>
        </w:tc>
        <w:tc>
          <w:tcPr>
            <w:tcW w:w="5121" w:type="dxa"/>
            <w:tcBorders>
              <w:top w:val="nil"/>
              <w:left w:val="nil"/>
              <w:bottom w:val="nil"/>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 xml:space="preserve">Πρωτογενές αποτέλεσμα Γενικής Κυβέρνησης σύμφωνα  με τη μεθοδολογία της </w:t>
            </w:r>
          </w:p>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ενισχυμένης εποπτείας (Ι + ΙΙ)</w:t>
            </w:r>
          </w:p>
        </w:tc>
        <w:tc>
          <w:tcPr>
            <w:tcW w:w="950" w:type="dxa"/>
            <w:tcBorders>
              <w:top w:val="nil"/>
              <w:left w:val="nil"/>
              <w:bottom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6.557</w:t>
            </w:r>
          </w:p>
        </w:tc>
        <w:tc>
          <w:tcPr>
            <w:tcW w:w="919"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7.070</w:t>
            </w:r>
          </w:p>
        </w:tc>
        <w:tc>
          <w:tcPr>
            <w:tcW w:w="767"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-10.643</w:t>
            </w:r>
          </w:p>
        </w:tc>
        <w:tc>
          <w:tcPr>
            <w:tcW w:w="920" w:type="dxa"/>
            <w:tcBorders>
              <w:top w:val="nil"/>
              <w:left w:val="nil"/>
              <w:bottom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-1.862</w:t>
            </w:r>
          </w:p>
        </w:tc>
      </w:tr>
      <w:tr w:rsidR="004868D8" w:rsidRPr="00264501" w:rsidTr="004868D8">
        <w:trPr>
          <w:trHeight w:val="20"/>
        </w:trPr>
        <w:tc>
          <w:tcPr>
            <w:tcW w:w="320" w:type="dxa"/>
            <w:tcBorders>
              <w:top w:val="nil"/>
              <w:left w:val="single" w:sz="4" w:space="0" w:color="auto"/>
              <w:bottom w:val="nil"/>
              <w:right w:val="nil"/>
            </w:tcBorders>
            <w:shd w:val="clear" w:color="000000" w:fill="D8D8D8"/>
            <w:hideMark/>
          </w:tcPr>
          <w:p w:rsidR="004868D8" w:rsidRPr="00264501" w:rsidRDefault="004868D8" w:rsidP="00FB4673">
            <w:pPr>
              <w:jc w:val="center"/>
              <w:rPr>
                <w:rFonts w:ascii="Arial Narrow" w:hAnsi="Arial Narrow"/>
                <w:b/>
                <w:bCs/>
                <w:sz w:val="15"/>
                <w:szCs w:val="15"/>
              </w:rPr>
            </w:pPr>
          </w:p>
        </w:tc>
        <w:tc>
          <w:tcPr>
            <w:tcW w:w="5121" w:type="dxa"/>
            <w:tcBorders>
              <w:top w:val="nil"/>
              <w:left w:val="nil"/>
              <w:bottom w:val="nil"/>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 ΑΕΠ</w:t>
            </w:r>
          </w:p>
        </w:tc>
        <w:tc>
          <w:tcPr>
            <w:tcW w:w="950" w:type="dxa"/>
            <w:tcBorders>
              <w:top w:val="nil"/>
              <w:left w:val="nil"/>
              <w:bottom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3,50%</w:t>
            </w:r>
          </w:p>
        </w:tc>
        <w:tc>
          <w:tcPr>
            <w:tcW w:w="919"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3,58%</w:t>
            </w:r>
          </w:p>
        </w:tc>
        <w:tc>
          <w:tcPr>
            <w:tcW w:w="767"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-6,23%</w:t>
            </w:r>
          </w:p>
        </w:tc>
        <w:tc>
          <w:tcPr>
            <w:tcW w:w="920" w:type="dxa"/>
            <w:tcBorders>
              <w:top w:val="nil"/>
              <w:left w:val="nil"/>
              <w:bottom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-1,01%</w:t>
            </w: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sz w:val="15"/>
                <w:szCs w:val="15"/>
              </w:rPr>
            </w:pPr>
            <w:r w:rsidRPr="00264501">
              <w:rPr>
                <w:rFonts w:ascii="Arial Narrow" w:hAnsi="Arial Narrow"/>
                <w:sz w:val="15"/>
                <w:szCs w:val="15"/>
              </w:rPr>
              <w:t> </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b/>
                <w:bCs/>
                <w:sz w:val="16"/>
                <w:szCs w:val="16"/>
              </w:rPr>
            </w:pP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b/>
                <w:bCs/>
                <w:sz w:val="16"/>
                <w:szCs w:val="16"/>
              </w:rPr>
            </w:pP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b/>
                <w:bCs/>
                <w:sz w:val="16"/>
                <w:szCs w:val="16"/>
              </w:rPr>
            </w:pP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b/>
                <w:bCs/>
                <w:sz w:val="16"/>
                <w:szCs w:val="16"/>
              </w:rPr>
            </w:pPr>
          </w:p>
        </w:tc>
      </w:tr>
      <w:tr w:rsidR="004868D8" w:rsidRPr="00264501" w:rsidTr="004868D8">
        <w:trPr>
          <w:trHeight w:val="20"/>
        </w:trPr>
        <w:tc>
          <w:tcPr>
            <w:tcW w:w="320" w:type="dxa"/>
            <w:tcBorders>
              <w:top w:val="nil"/>
              <w:left w:val="single" w:sz="4" w:space="0" w:color="auto"/>
              <w:bottom w:val="nil"/>
              <w:right w:val="nil"/>
            </w:tcBorders>
            <w:shd w:val="clear" w:color="000000" w:fill="D8D8D8"/>
            <w:hideMark/>
          </w:tcPr>
          <w:p w:rsidR="004868D8" w:rsidRPr="00264501" w:rsidRDefault="004868D8" w:rsidP="00FB4673">
            <w:pPr>
              <w:jc w:val="center"/>
              <w:rPr>
                <w:rFonts w:ascii="Arial Narrow" w:hAnsi="Arial Narrow"/>
                <w:b/>
                <w:bCs/>
                <w:sz w:val="15"/>
                <w:szCs w:val="15"/>
              </w:rPr>
            </w:pPr>
            <w:r w:rsidRPr="00264501">
              <w:rPr>
                <w:rFonts w:ascii="Arial Narrow" w:hAnsi="Arial Narrow"/>
                <w:b/>
                <w:bCs/>
                <w:sz w:val="15"/>
                <w:szCs w:val="15"/>
                <w:lang w:val="en-GB"/>
              </w:rPr>
              <w:t>IV</w:t>
            </w:r>
            <w:r w:rsidRPr="00264501">
              <w:rPr>
                <w:rFonts w:ascii="Arial Narrow" w:hAnsi="Arial Narrow"/>
                <w:b/>
                <w:bCs/>
                <w:sz w:val="15"/>
                <w:szCs w:val="15"/>
              </w:rPr>
              <w:t>.</w:t>
            </w:r>
          </w:p>
        </w:tc>
        <w:tc>
          <w:tcPr>
            <w:tcW w:w="5121" w:type="dxa"/>
            <w:tcBorders>
              <w:top w:val="nil"/>
              <w:left w:val="nil"/>
              <w:bottom w:val="nil"/>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Στόχος ενισχυμένης εποπτείας</w:t>
            </w:r>
          </w:p>
        </w:tc>
        <w:tc>
          <w:tcPr>
            <w:tcW w:w="950" w:type="dxa"/>
            <w:tcBorders>
              <w:top w:val="nil"/>
              <w:left w:val="nil"/>
              <w:bottom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6.561</w:t>
            </w:r>
          </w:p>
        </w:tc>
        <w:tc>
          <w:tcPr>
            <w:tcW w:w="919"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6.906</w:t>
            </w:r>
          </w:p>
        </w:tc>
        <w:tc>
          <w:tcPr>
            <w:tcW w:w="767"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c>
          <w:tcPr>
            <w:tcW w:w="920" w:type="dxa"/>
            <w:tcBorders>
              <w:top w:val="nil"/>
              <w:left w:val="nil"/>
              <w:bottom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r>
      <w:tr w:rsidR="004868D8" w:rsidRPr="00264501" w:rsidTr="004868D8">
        <w:trPr>
          <w:trHeight w:val="20"/>
        </w:trPr>
        <w:tc>
          <w:tcPr>
            <w:tcW w:w="320" w:type="dxa"/>
            <w:tcBorders>
              <w:top w:val="nil"/>
              <w:left w:val="single" w:sz="4" w:space="0" w:color="auto"/>
              <w:bottom w:val="nil"/>
              <w:right w:val="nil"/>
            </w:tcBorders>
            <w:shd w:val="clear" w:color="000000" w:fill="D8D8D8"/>
            <w:hideMark/>
          </w:tcPr>
          <w:p w:rsidR="004868D8" w:rsidRPr="00264501" w:rsidRDefault="004868D8" w:rsidP="00FB4673">
            <w:pPr>
              <w:jc w:val="center"/>
              <w:rPr>
                <w:rFonts w:ascii="Arial Narrow" w:hAnsi="Arial Narrow"/>
                <w:b/>
                <w:bCs/>
                <w:sz w:val="15"/>
                <w:szCs w:val="15"/>
              </w:rPr>
            </w:pPr>
          </w:p>
        </w:tc>
        <w:tc>
          <w:tcPr>
            <w:tcW w:w="5121" w:type="dxa"/>
            <w:tcBorders>
              <w:top w:val="nil"/>
              <w:left w:val="nil"/>
              <w:bottom w:val="nil"/>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 ΑΕΠ</w:t>
            </w:r>
          </w:p>
        </w:tc>
        <w:tc>
          <w:tcPr>
            <w:tcW w:w="950" w:type="dxa"/>
            <w:tcBorders>
              <w:top w:val="nil"/>
              <w:left w:val="nil"/>
              <w:bottom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3,50%</w:t>
            </w:r>
          </w:p>
        </w:tc>
        <w:tc>
          <w:tcPr>
            <w:tcW w:w="919"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3,50%</w:t>
            </w:r>
          </w:p>
        </w:tc>
        <w:tc>
          <w:tcPr>
            <w:tcW w:w="767"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c>
          <w:tcPr>
            <w:tcW w:w="920" w:type="dxa"/>
            <w:tcBorders>
              <w:top w:val="nil"/>
              <w:left w:val="nil"/>
              <w:bottom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r>
      <w:tr w:rsidR="004868D8" w:rsidRPr="00264501" w:rsidTr="004868D8">
        <w:trPr>
          <w:trHeight w:val="20"/>
        </w:trPr>
        <w:tc>
          <w:tcPr>
            <w:tcW w:w="320" w:type="dxa"/>
            <w:tcBorders>
              <w:top w:val="nil"/>
              <w:left w:val="single" w:sz="4" w:space="0" w:color="auto"/>
              <w:bottom w:val="nil"/>
              <w:right w:val="nil"/>
            </w:tcBorders>
            <w:shd w:val="clear" w:color="000000" w:fill="FFFFFF"/>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bottom w:val="nil"/>
              <w:right w:val="nil"/>
            </w:tcBorders>
            <w:shd w:val="clear" w:color="000000" w:fill="FFFFFF"/>
            <w:vAlign w:val="center"/>
            <w:hideMark/>
          </w:tcPr>
          <w:p w:rsidR="004868D8" w:rsidRPr="00264501" w:rsidRDefault="004868D8" w:rsidP="00FB4673">
            <w:pPr>
              <w:rPr>
                <w:rFonts w:ascii="Arial Narrow" w:hAnsi="Arial Narrow"/>
                <w:sz w:val="15"/>
                <w:szCs w:val="15"/>
              </w:rPr>
            </w:pPr>
            <w:r w:rsidRPr="00264501">
              <w:rPr>
                <w:rFonts w:ascii="Arial Narrow" w:hAnsi="Arial Narrow"/>
                <w:sz w:val="15"/>
                <w:szCs w:val="15"/>
              </w:rPr>
              <w:t> </w:t>
            </w:r>
          </w:p>
        </w:tc>
        <w:tc>
          <w:tcPr>
            <w:tcW w:w="950" w:type="dxa"/>
            <w:tcBorders>
              <w:top w:val="nil"/>
              <w:left w:val="nil"/>
              <w:bottom w:val="nil"/>
              <w:right w:val="nil"/>
            </w:tcBorders>
            <w:shd w:val="clear" w:color="000000" w:fill="FFFFFF"/>
            <w:vAlign w:val="center"/>
            <w:hideMark/>
          </w:tcPr>
          <w:p w:rsidR="004868D8" w:rsidRDefault="004868D8" w:rsidP="004868D8">
            <w:pPr>
              <w:ind w:right="170"/>
              <w:jc w:val="right"/>
              <w:rPr>
                <w:rFonts w:ascii="Arial Narrow" w:hAnsi="Arial Narrow"/>
                <w:b/>
                <w:bCs/>
                <w:sz w:val="16"/>
                <w:szCs w:val="16"/>
              </w:rPr>
            </w:pPr>
          </w:p>
        </w:tc>
        <w:tc>
          <w:tcPr>
            <w:tcW w:w="919"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b/>
                <w:bCs/>
                <w:sz w:val="16"/>
                <w:szCs w:val="16"/>
              </w:rPr>
            </w:pPr>
          </w:p>
        </w:tc>
        <w:tc>
          <w:tcPr>
            <w:tcW w:w="767" w:type="dxa"/>
            <w:tcBorders>
              <w:top w:val="nil"/>
              <w:left w:val="nil"/>
              <w:bottom w:val="nil"/>
              <w:right w:val="nil"/>
            </w:tcBorders>
            <w:shd w:val="clear" w:color="000000" w:fill="FFFFFF"/>
            <w:vAlign w:val="center"/>
            <w:hideMark/>
          </w:tcPr>
          <w:p w:rsidR="004868D8" w:rsidRDefault="004868D8" w:rsidP="009B27D9">
            <w:pPr>
              <w:ind w:right="170"/>
              <w:jc w:val="right"/>
              <w:rPr>
                <w:rFonts w:ascii="Arial Narrow" w:hAnsi="Arial Narrow"/>
                <w:b/>
                <w:bCs/>
                <w:sz w:val="16"/>
                <w:szCs w:val="16"/>
              </w:rPr>
            </w:pPr>
          </w:p>
        </w:tc>
        <w:tc>
          <w:tcPr>
            <w:tcW w:w="920" w:type="dxa"/>
            <w:tcBorders>
              <w:top w:val="nil"/>
              <w:left w:val="nil"/>
              <w:bottom w:val="nil"/>
              <w:right w:val="single" w:sz="4" w:space="0" w:color="auto"/>
            </w:tcBorders>
            <w:shd w:val="clear" w:color="000000" w:fill="FFFFFF"/>
            <w:vAlign w:val="center"/>
            <w:hideMark/>
          </w:tcPr>
          <w:p w:rsidR="004868D8" w:rsidRDefault="004868D8" w:rsidP="009B27D9">
            <w:pPr>
              <w:ind w:right="170"/>
              <w:jc w:val="right"/>
              <w:rPr>
                <w:rFonts w:ascii="Arial Narrow" w:hAnsi="Arial Narrow"/>
                <w:b/>
                <w:bCs/>
                <w:sz w:val="16"/>
                <w:szCs w:val="16"/>
              </w:rPr>
            </w:pPr>
          </w:p>
        </w:tc>
      </w:tr>
      <w:tr w:rsidR="004868D8" w:rsidRPr="00264501" w:rsidTr="004868D8">
        <w:trPr>
          <w:trHeight w:val="20"/>
        </w:trPr>
        <w:tc>
          <w:tcPr>
            <w:tcW w:w="320" w:type="dxa"/>
            <w:tcBorders>
              <w:top w:val="nil"/>
              <w:left w:val="single" w:sz="4" w:space="0" w:color="auto"/>
              <w:bottom w:val="nil"/>
              <w:right w:val="nil"/>
            </w:tcBorders>
            <w:shd w:val="clear" w:color="000000" w:fill="D8D8D8"/>
            <w:hideMark/>
          </w:tcPr>
          <w:p w:rsidR="004868D8" w:rsidRPr="00264501" w:rsidRDefault="004868D8" w:rsidP="00FB4673">
            <w:pPr>
              <w:jc w:val="center"/>
              <w:rPr>
                <w:rFonts w:ascii="Arial Narrow" w:hAnsi="Arial Narrow"/>
                <w:b/>
                <w:bCs/>
                <w:sz w:val="15"/>
                <w:szCs w:val="15"/>
              </w:rPr>
            </w:pPr>
            <w:r w:rsidRPr="00264501">
              <w:rPr>
                <w:rFonts w:ascii="Arial Narrow" w:hAnsi="Arial Narrow"/>
                <w:b/>
                <w:bCs/>
                <w:sz w:val="15"/>
                <w:szCs w:val="15"/>
                <w:lang w:val="en-GB"/>
              </w:rPr>
              <w:t>V</w:t>
            </w:r>
            <w:r w:rsidRPr="00264501">
              <w:rPr>
                <w:rFonts w:ascii="Arial Narrow" w:hAnsi="Arial Narrow"/>
                <w:b/>
                <w:bCs/>
                <w:sz w:val="15"/>
                <w:szCs w:val="15"/>
              </w:rPr>
              <w:t>.</w:t>
            </w:r>
          </w:p>
        </w:tc>
        <w:tc>
          <w:tcPr>
            <w:tcW w:w="5121" w:type="dxa"/>
            <w:tcBorders>
              <w:top w:val="nil"/>
              <w:left w:val="nil"/>
              <w:bottom w:val="nil"/>
              <w:right w:val="nil"/>
            </w:tcBorders>
            <w:shd w:val="clear" w:color="000000" w:fill="D8D8D8"/>
            <w:vAlign w:val="center"/>
            <w:hideMark/>
          </w:tcPr>
          <w:p w:rsidR="004868D8" w:rsidRPr="00264501" w:rsidRDefault="004868D8" w:rsidP="00C22BC8">
            <w:pPr>
              <w:rPr>
                <w:rFonts w:ascii="Arial Narrow" w:hAnsi="Arial Narrow"/>
                <w:b/>
                <w:bCs/>
                <w:sz w:val="15"/>
                <w:szCs w:val="15"/>
              </w:rPr>
            </w:pPr>
            <w:r w:rsidRPr="00264501">
              <w:rPr>
                <w:rFonts w:ascii="Arial Narrow" w:hAnsi="Arial Narrow"/>
                <w:b/>
                <w:bCs/>
                <w:sz w:val="15"/>
                <w:szCs w:val="15"/>
              </w:rPr>
              <w:t>Δημοσιονομικό Πλεόνασμα (+) ή Κενό (-) σύμφωνα με τη μεθοδολογία της</w:t>
            </w:r>
          </w:p>
          <w:p w:rsidR="004868D8" w:rsidRPr="00264501" w:rsidRDefault="004868D8" w:rsidP="00C22BC8">
            <w:pPr>
              <w:rPr>
                <w:rFonts w:ascii="Arial Narrow" w:hAnsi="Arial Narrow"/>
                <w:b/>
                <w:bCs/>
                <w:sz w:val="15"/>
                <w:szCs w:val="15"/>
              </w:rPr>
            </w:pPr>
            <w:r w:rsidRPr="00264501">
              <w:rPr>
                <w:rFonts w:ascii="Arial Narrow" w:hAnsi="Arial Narrow"/>
                <w:b/>
                <w:bCs/>
                <w:sz w:val="15"/>
                <w:szCs w:val="15"/>
              </w:rPr>
              <w:t>ενισχυμένης εποπτείας (</w:t>
            </w:r>
            <w:r w:rsidRPr="00264501">
              <w:rPr>
                <w:rFonts w:ascii="Arial Narrow" w:hAnsi="Arial Narrow"/>
                <w:b/>
                <w:bCs/>
                <w:sz w:val="15"/>
                <w:szCs w:val="15"/>
                <w:lang w:val="en-GB"/>
              </w:rPr>
              <w:t>III</w:t>
            </w:r>
            <w:r w:rsidRPr="00264501">
              <w:rPr>
                <w:rFonts w:ascii="Arial Narrow" w:hAnsi="Arial Narrow"/>
                <w:b/>
                <w:bCs/>
                <w:sz w:val="15"/>
                <w:szCs w:val="15"/>
              </w:rPr>
              <w:t>-</w:t>
            </w:r>
            <w:r w:rsidRPr="00264501">
              <w:rPr>
                <w:rFonts w:ascii="Arial Narrow" w:hAnsi="Arial Narrow"/>
                <w:b/>
                <w:bCs/>
                <w:sz w:val="15"/>
                <w:szCs w:val="15"/>
                <w:lang w:val="en-GB"/>
              </w:rPr>
              <w:t>IV</w:t>
            </w:r>
            <w:r w:rsidRPr="00264501">
              <w:rPr>
                <w:rFonts w:ascii="Arial Narrow" w:hAnsi="Arial Narrow"/>
                <w:b/>
                <w:bCs/>
                <w:sz w:val="15"/>
                <w:szCs w:val="15"/>
              </w:rPr>
              <w:t>)</w:t>
            </w:r>
          </w:p>
        </w:tc>
        <w:tc>
          <w:tcPr>
            <w:tcW w:w="950" w:type="dxa"/>
            <w:tcBorders>
              <w:top w:val="nil"/>
              <w:left w:val="nil"/>
              <w:bottom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-4</w:t>
            </w:r>
          </w:p>
        </w:tc>
        <w:tc>
          <w:tcPr>
            <w:tcW w:w="919"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164</w:t>
            </w:r>
          </w:p>
        </w:tc>
        <w:tc>
          <w:tcPr>
            <w:tcW w:w="767" w:type="dxa"/>
            <w:tcBorders>
              <w:top w:val="nil"/>
              <w:left w:val="nil"/>
              <w:bottom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c>
          <w:tcPr>
            <w:tcW w:w="920" w:type="dxa"/>
            <w:tcBorders>
              <w:top w:val="nil"/>
              <w:left w:val="nil"/>
              <w:bottom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r>
      <w:tr w:rsidR="004868D8" w:rsidRPr="00264501" w:rsidTr="004868D8">
        <w:trPr>
          <w:trHeight w:val="20"/>
        </w:trPr>
        <w:tc>
          <w:tcPr>
            <w:tcW w:w="320" w:type="dxa"/>
            <w:tcBorders>
              <w:top w:val="nil"/>
              <w:left w:val="single" w:sz="4" w:space="0" w:color="auto"/>
              <w:right w:val="nil"/>
            </w:tcBorders>
            <w:shd w:val="clear" w:color="000000" w:fill="D8D8D8"/>
            <w:hideMark/>
          </w:tcPr>
          <w:p w:rsidR="004868D8" w:rsidRPr="00264501" w:rsidRDefault="004868D8" w:rsidP="00FB4673">
            <w:pPr>
              <w:jc w:val="center"/>
              <w:rPr>
                <w:rFonts w:ascii="Arial Narrow" w:hAnsi="Arial Narrow"/>
                <w:b/>
                <w:bCs/>
                <w:sz w:val="15"/>
                <w:szCs w:val="15"/>
              </w:rPr>
            </w:pPr>
          </w:p>
        </w:tc>
        <w:tc>
          <w:tcPr>
            <w:tcW w:w="5121" w:type="dxa"/>
            <w:tcBorders>
              <w:top w:val="nil"/>
              <w:left w:val="nil"/>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 ΑΕΠ</w:t>
            </w:r>
          </w:p>
        </w:tc>
        <w:tc>
          <w:tcPr>
            <w:tcW w:w="950" w:type="dxa"/>
            <w:tcBorders>
              <w:top w:val="nil"/>
              <w:left w:val="nil"/>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0,00%</w:t>
            </w:r>
          </w:p>
        </w:tc>
        <w:tc>
          <w:tcPr>
            <w:tcW w:w="919" w:type="dxa"/>
            <w:tcBorders>
              <w:top w:val="nil"/>
              <w:left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0,08%</w:t>
            </w:r>
          </w:p>
        </w:tc>
        <w:tc>
          <w:tcPr>
            <w:tcW w:w="767" w:type="dxa"/>
            <w:tcBorders>
              <w:top w:val="nil"/>
              <w:left w:val="nil"/>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c>
          <w:tcPr>
            <w:tcW w:w="920" w:type="dxa"/>
            <w:tcBorders>
              <w:top w:val="nil"/>
              <w:left w:val="nil"/>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w:t>
            </w:r>
          </w:p>
        </w:tc>
      </w:tr>
      <w:tr w:rsidR="004868D8" w:rsidRPr="00264501" w:rsidTr="004868D8">
        <w:trPr>
          <w:trHeight w:val="20"/>
        </w:trPr>
        <w:tc>
          <w:tcPr>
            <w:tcW w:w="320" w:type="dxa"/>
            <w:tcBorders>
              <w:top w:val="nil"/>
              <w:left w:val="single" w:sz="4" w:space="0" w:color="auto"/>
              <w:right w:val="nil"/>
            </w:tcBorders>
            <w:shd w:val="clear" w:color="000000" w:fill="FFFFFF"/>
            <w:vAlign w:val="center"/>
            <w:hideMark/>
          </w:tcPr>
          <w:p w:rsidR="004868D8" w:rsidRPr="00264501" w:rsidRDefault="004868D8" w:rsidP="00FB4673">
            <w:pPr>
              <w:jc w:val="center"/>
              <w:rPr>
                <w:rFonts w:ascii="Arial Narrow" w:hAnsi="Arial Narrow"/>
                <w:b/>
                <w:bCs/>
                <w:color w:val="000000"/>
                <w:sz w:val="15"/>
                <w:szCs w:val="15"/>
              </w:rPr>
            </w:pPr>
          </w:p>
        </w:tc>
        <w:tc>
          <w:tcPr>
            <w:tcW w:w="5121" w:type="dxa"/>
            <w:tcBorders>
              <w:top w:val="nil"/>
              <w:left w:val="nil"/>
              <w:right w:val="nil"/>
            </w:tcBorders>
            <w:shd w:val="clear" w:color="000000" w:fill="FFFFFF"/>
            <w:vAlign w:val="center"/>
            <w:hideMark/>
          </w:tcPr>
          <w:p w:rsidR="004868D8" w:rsidRPr="00264501" w:rsidRDefault="004868D8" w:rsidP="00FB4673">
            <w:pPr>
              <w:rPr>
                <w:rFonts w:ascii="Arial Narrow" w:hAnsi="Arial Narrow"/>
                <w:sz w:val="15"/>
                <w:szCs w:val="15"/>
              </w:rPr>
            </w:pPr>
            <w:r w:rsidRPr="00264501">
              <w:rPr>
                <w:rFonts w:ascii="Arial Narrow" w:hAnsi="Arial Narrow"/>
                <w:sz w:val="15"/>
                <w:szCs w:val="15"/>
              </w:rPr>
              <w:t> </w:t>
            </w:r>
          </w:p>
        </w:tc>
        <w:tc>
          <w:tcPr>
            <w:tcW w:w="950" w:type="dxa"/>
            <w:tcBorders>
              <w:top w:val="nil"/>
              <w:left w:val="nil"/>
              <w:right w:val="nil"/>
            </w:tcBorders>
            <w:shd w:val="clear" w:color="000000" w:fill="FFFFFF"/>
            <w:vAlign w:val="center"/>
            <w:hideMark/>
          </w:tcPr>
          <w:p w:rsidR="004868D8" w:rsidRDefault="004868D8" w:rsidP="004868D8">
            <w:pPr>
              <w:ind w:right="170"/>
              <w:jc w:val="right"/>
              <w:rPr>
                <w:rFonts w:ascii="Arial Narrow" w:hAnsi="Arial Narrow"/>
                <w:b/>
                <w:bCs/>
                <w:sz w:val="16"/>
                <w:szCs w:val="16"/>
              </w:rPr>
            </w:pPr>
          </w:p>
        </w:tc>
        <w:tc>
          <w:tcPr>
            <w:tcW w:w="919" w:type="dxa"/>
            <w:tcBorders>
              <w:top w:val="nil"/>
              <w:left w:val="nil"/>
              <w:right w:val="nil"/>
            </w:tcBorders>
            <w:shd w:val="clear" w:color="000000" w:fill="FFFFFF"/>
            <w:vAlign w:val="center"/>
            <w:hideMark/>
          </w:tcPr>
          <w:p w:rsidR="004868D8" w:rsidRDefault="004868D8" w:rsidP="009B27D9">
            <w:pPr>
              <w:ind w:right="170"/>
              <w:jc w:val="right"/>
              <w:rPr>
                <w:rFonts w:ascii="Arial Narrow" w:hAnsi="Arial Narrow"/>
                <w:b/>
                <w:bCs/>
                <w:sz w:val="16"/>
                <w:szCs w:val="16"/>
              </w:rPr>
            </w:pPr>
          </w:p>
        </w:tc>
        <w:tc>
          <w:tcPr>
            <w:tcW w:w="767" w:type="dxa"/>
            <w:tcBorders>
              <w:top w:val="nil"/>
              <w:left w:val="nil"/>
              <w:right w:val="nil"/>
            </w:tcBorders>
            <w:shd w:val="clear" w:color="000000" w:fill="FFFFFF"/>
            <w:vAlign w:val="center"/>
            <w:hideMark/>
          </w:tcPr>
          <w:p w:rsidR="004868D8" w:rsidRDefault="004868D8" w:rsidP="009B27D9">
            <w:pPr>
              <w:ind w:right="170"/>
              <w:jc w:val="right"/>
              <w:rPr>
                <w:rFonts w:ascii="Arial Narrow" w:hAnsi="Arial Narrow"/>
                <w:b/>
                <w:bCs/>
                <w:sz w:val="16"/>
                <w:szCs w:val="16"/>
              </w:rPr>
            </w:pPr>
          </w:p>
        </w:tc>
        <w:tc>
          <w:tcPr>
            <w:tcW w:w="920" w:type="dxa"/>
            <w:tcBorders>
              <w:top w:val="nil"/>
              <w:left w:val="nil"/>
              <w:right w:val="single" w:sz="4" w:space="0" w:color="auto"/>
            </w:tcBorders>
            <w:shd w:val="clear" w:color="000000" w:fill="FFFFFF"/>
            <w:vAlign w:val="center"/>
            <w:hideMark/>
          </w:tcPr>
          <w:p w:rsidR="004868D8" w:rsidRDefault="004868D8" w:rsidP="009B27D9">
            <w:pPr>
              <w:ind w:right="170"/>
              <w:jc w:val="right"/>
              <w:rPr>
                <w:rFonts w:ascii="Arial Narrow" w:hAnsi="Arial Narrow"/>
                <w:b/>
                <w:bCs/>
                <w:sz w:val="16"/>
                <w:szCs w:val="16"/>
              </w:rPr>
            </w:pPr>
          </w:p>
        </w:tc>
      </w:tr>
      <w:tr w:rsidR="004868D8" w:rsidRPr="00264501" w:rsidTr="004868D8">
        <w:trPr>
          <w:trHeight w:val="20"/>
        </w:trPr>
        <w:tc>
          <w:tcPr>
            <w:tcW w:w="320" w:type="dxa"/>
            <w:tcBorders>
              <w:left w:val="single" w:sz="4" w:space="0" w:color="auto"/>
              <w:bottom w:val="single" w:sz="4" w:space="0" w:color="auto"/>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 </w:t>
            </w:r>
          </w:p>
        </w:tc>
        <w:tc>
          <w:tcPr>
            <w:tcW w:w="5121" w:type="dxa"/>
            <w:tcBorders>
              <w:left w:val="nil"/>
              <w:bottom w:val="single" w:sz="4" w:space="0" w:color="auto"/>
              <w:right w:val="nil"/>
            </w:tcBorders>
            <w:shd w:val="clear" w:color="000000" w:fill="D8D8D8"/>
            <w:vAlign w:val="center"/>
            <w:hideMark/>
          </w:tcPr>
          <w:p w:rsidR="004868D8" w:rsidRPr="00264501" w:rsidRDefault="004868D8" w:rsidP="00FB4673">
            <w:pPr>
              <w:rPr>
                <w:rFonts w:ascii="Arial Narrow" w:hAnsi="Arial Narrow"/>
                <w:b/>
                <w:bCs/>
                <w:sz w:val="15"/>
                <w:szCs w:val="15"/>
              </w:rPr>
            </w:pPr>
            <w:r w:rsidRPr="00264501">
              <w:rPr>
                <w:rFonts w:ascii="Arial Narrow" w:hAnsi="Arial Narrow"/>
                <w:b/>
                <w:bCs/>
                <w:sz w:val="15"/>
                <w:szCs w:val="15"/>
              </w:rPr>
              <w:t>ΑΕΠ</w:t>
            </w:r>
          </w:p>
        </w:tc>
        <w:tc>
          <w:tcPr>
            <w:tcW w:w="950" w:type="dxa"/>
            <w:tcBorders>
              <w:left w:val="nil"/>
              <w:bottom w:val="single" w:sz="4" w:space="0" w:color="auto"/>
              <w:right w:val="nil"/>
            </w:tcBorders>
            <w:shd w:val="clear" w:color="000000" w:fill="D8D8D8"/>
            <w:vAlign w:val="center"/>
            <w:hideMark/>
          </w:tcPr>
          <w:p w:rsidR="004868D8" w:rsidRDefault="004868D8" w:rsidP="004868D8">
            <w:pPr>
              <w:ind w:right="170"/>
              <w:jc w:val="right"/>
              <w:rPr>
                <w:rFonts w:ascii="Arial Narrow" w:hAnsi="Arial Narrow"/>
                <w:b/>
                <w:bCs/>
                <w:sz w:val="16"/>
                <w:szCs w:val="16"/>
              </w:rPr>
            </w:pPr>
            <w:r>
              <w:rPr>
                <w:rFonts w:ascii="Arial Narrow" w:hAnsi="Arial Narrow"/>
                <w:b/>
                <w:bCs/>
                <w:sz w:val="16"/>
                <w:szCs w:val="16"/>
              </w:rPr>
              <w:t>187.456</w:t>
            </w:r>
          </w:p>
        </w:tc>
        <w:tc>
          <w:tcPr>
            <w:tcW w:w="919" w:type="dxa"/>
            <w:tcBorders>
              <w:left w:val="nil"/>
              <w:bottom w:val="single" w:sz="4" w:space="0" w:color="auto"/>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197.315</w:t>
            </w:r>
          </w:p>
        </w:tc>
        <w:tc>
          <w:tcPr>
            <w:tcW w:w="767" w:type="dxa"/>
            <w:tcBorders>
              <w:left w:val="nil"/>
              <w:bottom w:val="single" w:sz="4" w:space="0" w:color="auto"/>
              <w:right w:val="nil"/>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170.721</w:t>
            </w:r>
          </w:p>
        </w:tc>
        <w:tc>
          <w:tcPr>
            <w:tcW w:w="920" w:type="dxa"/>
            <w:tcBorders>
              <w:left w:val="nil"/>
              <w:bottom w:val="single" w:sz="4" w:space="0" w:color="auto"/>
              <w:right w:val="single" w:sz="4" w:space="0" w:color="auto"/>
            </w:tcBorders>
            <w:shd w:val="clear" w:color="000000" w:fill="D8D8D8"/>
            <w:vAlign w:val="center"/>
            <w:hideMark/>
          </w:tcPr>
          <w:p w:rsidR="004868D8" w:rsidRDefault="004868D8" w:rsidP="009B27D9">
            <w:pPr>
              <w:ind w:right="170"/>
              <w:jc w:val="right"/>
              <w:rPr>
                <w:rFonts w:ascii="Arial Narrow" w:hAnsi="Arial Narrow"/>
                <w:b/>
                <w:bCs/>
                <w:sz w:val="16"/>
                <w:szCs w:val="16"/>
              </w:rPr>
            </w:pPr>
            <w:r>
              <w:rPr>
                <w:rFonts w:ascii="Arial Narrow" w:hAnsi="Arial Narrow"/>
                <w:b/>
                <w:bCs/>
                <w:sz w:val="16"/>
                <w:szCs w:val="16"/>
              </w:rPr>
              <w:t>185.215</w:t>
            </w:r>
          </w:p>
        </w:tc>
      </w:tr>
    </w:tbl>
    <w:p w:rsidR="00DB3F3A" w:rsidRPr="00E71691" w:rsidRDefault="00DB3F3A" w:rsidP="00E30C8C">
      <w:pPr>
        <w:contextualSpacing/>
        <w:jc w:val="both"/>
        <w:rPr>
          <w:rFonts w:ascii="Arial Narrow" w:hAnsi="Arial Narrow"/>
          <w:bCs/>
          <w:color w:val="000080"/>
          <w:szCs w:val="22"/>
        </w:rPr>
      </w:pPr>
    </w:p>
    <w:p w:rsidR="00DB3F3A" w:rsidRPr="00E71691" w:rsidRDefault="00DB3F3A" w:rsidP="00E30C8C">
      <w:pPr>
        <w:contextualSpacing/>
        <w:jc w:val="both"/>
        <w:rPr>
          <w:rFonts w:ascii="Arial Narrow" w:hAnsi="Arial Narrow"/>
          <w:bCs/>
          <w:color w:val="000080"/>
          <w:szCs w:val="22"/>
        </w:rPr>
      </w:pPr>
    </w:p>
    <w:p w:rsidR="00E30C8C" w:rsidRPr="00E71691" w:rsidRDefault="00E30C8C" w:rsidP="00E30C8C">
      <w:pPr>
        <w:contextualSpacing/>
        <w:jc w:val="both"/>
        <w:rPr>
          <w:rFonts w:ascii="Arial Narrow" w:hAnsi="Arial Narrow"/>
          <w:b/>
          <w:bCs/>
          <w:color w:val="000080"/>
          <w:szCs w:val="22"/>
        </w:rPr>
      </w:pPr>
      <w:r w:rsidRPr="00E71691">
        <w:rPr>
          <w:rFonts w:ascii="Arial Narrow" w:hAnsi="Arial Narrow"/>
          <w:b/>
          <w:bCs/>
          <w:color w:val="000080"/>
          <w:szCs w:val="22"/>
        </w:rPr>
        <w:t>Δαπάνες</w:t>
      </w:r>
    </w:p>
    <w:p w:rsidR="00E71691" w:rsidRDefault="00E71691" w:rsidP="00E71691">
      <w:pPr>
        <w:jc w:val="both"/>
        <w:rPr>
          <w:bCs/>
        </w:rPr>
      </w:pPr>
    </w:p>
    <w:p w:rsidR="00E71691" w:rsidRPr="002A04F3" w:rsidRDefault="00E71691" w:rsidP="00E71691">
      <w:pPr>
        <w:jc w:val="both"/>
        <w:rPr>
          <w:bCs/>
        </w:rPr>
      </w:pPr>
      <w:r w:rsidRPr="00306AA7">
        <w:rPr>
          <w:bCs/>
        </w:rPr>
        <w:t xml:space="preserve">Οι συνολικές δαπάνες του </w:t>
      </w:r>
      <w:r>
        <w:rPr>
          <w:bCs/>
        </w:rPr>
        <w:t>Κρατικού Προϋπολογισμού για το έτος 20</w:t>
      </w:r>
      <w:r w:rsidRPr="008B6AD1">
        <w:rPr>
          <w:bCs/>
        </w:rPr>
        <w:t xml:space="preserve">20 </w:t>
      </w:r>
      <w:r>
        <w:rPr>
          <w:bCs/>
        </w:rPr>
        <w:t>σε δημοσιονομική βάση</w:t>
      </w:r>
      <w:r w:rsidRPr="00306AA7">
        <w:rPr>
          <w:bCs/>
        </w:rPr>
        <w:t xml:space="preserve"> εκτιμάται ότι θα </w:t>
      </w:r>
      <w:r w:rsidRPr="007B3365">
        <w:rPr>
          <w:bCs/>
        </w:rPr>
        <w:t>διαμορφωθούν στα 68.528 εκατ. ευρώ, αυξημένες κατά 11.365 εκατ. ευρώ, σε σχέση με τον στόχο του ψηφισμένου Προϋπολογισμού 2020. Η μεγάλη</w:t>
      </w:r>
      <w:r>
        <w:rPr>
          <w:bCs/>
        </w:rPr>
        <w:t xml:space="preserve"> αυτή αύξηση</w:t>
      </w:r>
      <w:r w:rsidR="005F0F98">
        <w:rPr>
          <w:bCs/>
        </w:rPr>
        <w:t>,</w:t>
      </w:r>
      <w:r>
        <w:rPr>
          <w:bCs/>
        </w:rPr>
        <w:t xml:space="preserve"> όπως προκύπτει και από την ανάλυση των δαπανών κατά μείζονα κατηγορία, οφείλεται κατά κύριο λόγο στις υλοποιούμενες δράσεις για την αντιμετώπιση των επιπτώσεων της πανδημίας </w:t>
      </w:r>
      <w:proofErr w:type="spellStart"/>
      <w:r w:rsidR="00BE23E9">
        <w:rPr>
          <w:bCs/>
          <w:lang w:val="en-US"/>
        </w:rPr>
        <w:t>Covid</w:t>
      </w:r>
      <w:proofErr w:type="spellEnd"/>
      <w:r w:rsidR="00BE23E9" w:rsidRPr="00BE23E9">
        <w:rPr>
          <w:bCs/>
        </w:rPr>
        <w:t>-19</w:t>
      </w:r>
      <w:r w:rsidRPr="002A04F3">
        <w:rPr>
          <w:bCs/>
        </w:rPr>
        <w:t>.</w:t>
      </w:r>
    </w:p>
    <w:p w:rsidR="00E71691" w:rsidRPr="00E71691" w:rsidRDefault="00E71691" w:rsidP="00E71691">
      <w:pPr>
        <w:jc w:val="both"/>
        <w:rPr>
          <w:bCs/>
          <w:szCs w:val="22"/>
        </w:rPr>
      </w:pPr>
    </w:p>
    <w:p w:rsidR="00E30C8C" w:rsidRPr="00E71691" w:rsidRDefault="00E30C8C" w:rsidP="00E30C8C">
      <w:pPr>
        <w:jc w:val="both"/>
        <w:rPr>
          <w:rFonts w:ascii="Arial Narrow" w:hAnsi="Arial Narrow"/>
          <w:b/>
          <w:bCs/>
          <w:i/>
          <w:color w:val="000080"/>
          <w:sz w:val="22"/>
          <w:szCs w:val="22"/>
        </w:rPr>
      </w:pPr>
      <w:r w:rsidRPr="00E71691">
        <w:rPr>
          <w:rFonts w:ascii="Arial Narrow" w:hAnsi="Arial Narrow"/>
          <w:b/>
          <w:bCs/>
          <w:i/>
          <w:color w:val="000080"/>
          <w:sz w:val="22"/>
          <w:szCs w:val="22"/>
        </w:rPr>
        <w:t>Ανάλυση δαπανών κατά μείζονα κατηγορία (σε δημοσιονομική βάση)</w:t>
      </w:r>
    </w:p>
    <w:p w:rsidR="00E30C8C" w:rsidRPr="00E71691" w:rsidRDefault="00E30C8C" w:rsidP="00E30C8C">
      <w:pPr>
        <w:jc w:val="both"/>
        <w:rPr>
          <w:bCs/>
          <w:i/>
          <w:iCs/>
          <w:szCs w:val="22"/>
        </w:rPr>
      </w:pPr>
    </w:p>
    <w:p w:rsidR="00E30C8C" w:rsidRPr="00E71691" w:rsidRDefault="00E30C8C" w:rsidP="008100EB">
      <w:pPr>
        <w:jc w:val="both"/>
        <w:rPr>
          <w:rFonts w:ascii="Arial Narrow" w:hAnsi="Arial Narrow"/>
          <w:b/>
          <w:bCs/>
          <w:iCs/>
          <w:sz w:val="22"/>
          <w:szCs w:val="22"/>
          <w:lang w:bidi="en-US"/>
        </w:rPr>
      </w:pPr>
      <w:r w:rsidRPr="00E71691">
        <w:rPr>
          <w:rFonts w:ascii="Arial Narrow" w:hAnsi="Arial Narrow"/>
          <w:b/>
          <w:bCs/>
          <w:iCs/>
          <w:sz w:val="22"/>
          <w:szCs w:val="22"/>
          <w:lang w:bidi="en-US"/>
        </w:rPr>
        <w:t>Παροχές σε εργαζ</w:t>
      </w:r>
      <w:r w:rsidR="00FA63B6">
        <w:rPr>
          <w:rFonts w:ascii="Arial Narrow" w:hAnsi="Arial Narrow"/>
          <w:b/>
          <w:bCs/>
          <w:iCs/>
          <w:sz w:val="22"/>
          <w:szCs w:val="22"/>
          <w:lang w:bidi="en-US"/>
        </w:rPr>
        <w:t>ό</w:t>
      </w:r>
      <w:r w:rsidRPr="00E71691">
        <w:rPr>
          <w:rFonts w:ascii="Arial Narrow" w:hAnsi="Arial Narrow"/>
          <w:b/>
          <w:bCs/>
          <w:iCs/>
          <w:sz w:val="22"/>
          <w:szCs w:val="22"/>
          <w:lang w:bidi="en-US"/>
        </w:rPr>
        <w:t>μ</w:t>
      </w:r>
      <w:r w:rsidR="00FA63B6">
        <w:rPr>
          <w:rFonts w:ascii="Arial Narrow" w:hAnsi="Arial Narrow"/>
          <w:b/>
          <w:bCs/>
          <w:iCs/>
          <w:sz w:val="22"/>
          <w:szCs w:val="22"/>
          <w:lang w:bidi="en-US"/>
        </w:rPr>
        <w:t>ε</w:t>
      </w:r>
      <w:r w:rsidRPr="00E71691">
        <w:rPr>
          <w:rFonts w:ascii="Arial Narrow" w:hAnsi="Arial Narrow"/>
          <w:b/>
          <w:bCs/>
          <w:iCs/>
          <w:sz w:val="22"/>
          <w:szCs w:val="22"/>
          <w:lang w:bidi="en-US"/>
        </w:rPr>
        <w:t xml:space="preserve">νους </w:t>
      </w:r>
    </w:p>
    <w:p w:rsidR="00E71691" w:rsidRDefault="00E71691" w:rsidP="00E71691">
      <w:pPr>
        <w:jc w:val="both"/>
      </w:pPr>
    </w:p>
    <w:p w:rsidR="00E71691" w:rsidRPr="00995DA5" w:rsidRDefault="00E71691" w:rsidP="00E71691">
      <w:pPr>
        <w:jc w:val="both"/>
      </w:pPr>
      <w:r w:rsidRPr="00995DA5">
        <w:t>Στην κατηγορία αυτή περιλαμβάνονται οι τακτικές αποδοχές, οι πρόσθετες αποδοχές, οι παροχές σε είδος, οι παροχές κληρωτών και οι αντίστοιχες εργοδοτικές εισφορές αιρετών, οργάνων διοίκησης, τακτικών υπαλλήλων, υπαλλήλων αορίστου χρόνου και υπαλλήλων ορισμένου χρόνου.</w:t>
      </w:r>
    </w:p>
    <w:p w:rsidR="00531B4F" w:rsidRDefault="00531B4F" w:rsidP="00E71691">
      <w:pPr>
        <w:jc w:val="both"/>
      </w:pPr>
    </w:p>
    <w:p w:rsidR="00E71691" w:rsidRDefault="00E71691" w:rsidP="00E71691">
      <w:pPr>
        <w:jc w:val="both"/>
      </w:pPr>
      <w:r w:rsidRPr="00995DA5">
        <w:t>Το 2020 οι παροχές σε εργαζ</w:t>
      </w:r>
      <w:r w:rsidR="00FA63B6">
        <w:t>ό</w:t>
      </w:r>
      <w:r w:rsidRPr="00995DA5">
        <w:t>μ</w:t>
      </w:r>
      <w:r w:rsidR="00FA63B6">
        <w:t>ε</w:t>
      </w:r>
      <w:r w:rsidRPr="00995DA5">
        <w:t xml:space="preserve">νους εκτιμάται ότι θα ανέλθουν στα 13.410 εκατ. ευρώ, αυξημένες κατά 20 εκατ. ευρώ σε σχέση με τον στόχο του Προϋπολογισμού 2020. Η μεταβολή αυτή οφείλεται </w:t>
      </w:r>
      <w:r>
        <w:t xml:space="preserve">κυρίως </w:t>
      </w:r>
      <w:r w:rsidRPr="00995DA5">
        <w:t>στους κάτωθι παράγοντες:</w:t>
      </w:r>
    </w:p>
    <w:p w:rsidR="00531B4F" w:rsidRPr="00995DA5" w:rsidRDefault="00531B4F" w:rsidP="00E71691">
      <w:pPr>
        <w:jc w:val="both"/>
      </w:pPr>
    </w:p>
    <w:p w:rsidR="00E71691" w:rsidRPr="00995DA5" w:rsidRDefault="00415535"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σ</w:t>
      </w:r>
      <w:r w:rsidR="00E71691" w:rsidRPr="00995DA5">
        <w:rPr>
          <w:rFonts w:ascii="Times New Roman" w:hAnsi="Times New Roman"/>
          <w:sz w:val="24"/>
          <w:szCs w:val="24"/>
        </w:rPr>
        <w:t xml:space="preserve">τη μείωση των τακτικών αποδοχών </w:t>
      </w:r>
      <w:r w:rsidR="00E71691">
        <w:rPr>
          <w:rFonts w:ascii="Times New Roman" w:hAnsi="Times New Roman"/>
          <w:sz w:val="24"/>
          <w:szCs w:val="24"/>
        </w:rPr>
        <w:t xml:space="preserve">και των εργοδοτικών εισφορών </w:t>
      </w:r>
      <w:r w:rsidR="00E71691" w:rsidRPr="00995DA5">
        <w:rPr>
          <w:rFonts w:ascii="Times New Roman" w:hAnsi="Times New Roman"/>
          <w:sz w:val="24"/>
          <w:szCs w:val="24"/>
        </w:rPr>
        <w:t xml:space="preserve">κατά 28 εκατ. ευρώ και κατά 58 εκατ. ευρώ αντίστοιχα, </w:t>
      </w:r>
      <w:r w:rsidR="00E71691">
        <w:rPr>
          <w:rFonts w:ascii="Times New Roman" w:hAnsi="Times New Roman"/>
          <w:sz w:val="24"/>
          <w:szCs w:val="24"/>
        </w:rPr>
        <w:t xml:space="preserve">σύμφωνα με την επανεκτίμηση </w:t>
      </w:r>
      <w:r w:rsidR="005F0F98">
        <w:rPr>
          <w:rFonts w:ascii="Times New Roman" w:hAnsi="Times New Roman"/>
          <w:sz w:val="24"/>
          <w:szCs w:val="24"/>
        </w:rPr>
        <w:t>των στοιχείων της μισθοδοσίας και</w:t>
      </w:r>
    </w:p>
    <w:p w:rsidR="00E71691" w:rsidRPr="00995DA5" w:rsidRDefault="005F0F98"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σ</w:t>
      </w:r>
      <w:r w:rsidR="00E71691" w:rsidRPr="00995DA5">
        <w:rPr>
          <w:rFonts w:ascii="Times New Roman" w:hAnsi="Times New Roman"/>
          <w:sz w:val="24"/>
          <w:szCs w:val="24"/>
        </w:rPr>
        <w:t xml:space="preserve">την αύξηση των πρόσθετων αποδοχών κατά 106 εκατ. ευρώ, κυρίως λόγω της </w:t>
      </w:r>
      <w:r>
        <w:rPr>
          <w:rFonts w:ascii="Times New Roman" w:hAnsi="Times New Roman"/>
          <w:sz w:val="24"/>
          <w:szCs w:val="24"/>
        </w:rPr>
        <w:t xml:space="preserve">έκτακτης οικονομικής ενίσχυσης </w:t>
      </w:r>
      <w:r w:rsidR="00E71691" w:rsidRPr="00995DA5">
        <w:rPr>
          <w:rFonts w:ascii="Times New Roman" w:hAnsi="Times New Roman"/>
          <w:sz w:val="24"/>
          <w:szCs w:val="24"/>
        </w:rPr>
        <w:t>στους υγειονομικούς υπαλλήλους και τους υπαλλήλους της Πολι</w:t>
      </w:r>
      <w:r w:rsidR="00E71691" w:rsidRPr="00995DA5">
        <w:rPr>
          <w:rFonts w:ascii="Times New Roman" w:hAnsi="Times New Roman"/>
          <w:sz w:val="24"/>
          <w:szCs w:val="24"/>
        </w:rPr>
        <w:lastRenderedPageBreak/>
        <w:t xml:space="preserve">τικής Προστασίας στο πλαίσιο των παρεμβάσεων που εφαρμόστηκαν για την αντιμετώπιση της πανδημίας </w:t>
      </w:r>
      <w:r w:rsidR="00BE23E9">
        <w:rPr>
          <w:rFonts w:ascii="Times New Roman" w:hAnsi="Times New Roman"/>
          <w:sz w:val="24"/>
          <w:szCs w:val="24"/>
        </w:rPr>
        <w:t>Covid-19</w:t>
      </w:r>
      <w:r w:rsidR="00E71691" w:rsidRPr="00995DA5">
        <w:rPr>
          <w:rFonts w:ascii="Times New Roman" w:hAnsi="Times New Roman"/>
          <w:sz w:val="24"/>
          <w:szCs w:val="24"/>
        </w:rPr>
        <w:t>.</w:t>
      </w:r>
    </w:p>
    <w:p w:rsidR="00E71691" w:rsidRPr="00386616" w:rsidRDefault="00E71691" w:rsidP="00E71691">
      <w:pPr>
        <w:jc w:val="both"/>
        <w:rPr>
          <w:bCs/>
          <w:iCs/>
          <w:szCs w:val="22"/>
        </w:rPr>
      </w:pPr>
    </w:p>
    <w:p w:rsidR="00E71691" w:rsidRPr="00B3414B" w:rsidRDefault="00E71691" w:rsidP="008100EB">
      <w:pPr>
        <w:jc w:val="both"/>
        <w:rPr>
          <w:rFonts w:ascii="Arial Narrow" w:hAnsi="Arial Narrow"/>
          <w:b/>
          <w:bCs/>
          <w:iCs/>
          <w:sz w:val="22"/>
          <w:szCs w:val="22"/>
          <w:lang w:bidi="en-US"/>
        </w:rPr>
      </w:pPr>
      <w:r w:rsidRPr="00B3414B">
        <w:rPr>
          <w:rFonts w:ascii="Arial Narrow" w:hAnsi="Arial Narrow"/>
          <w:b/>
          <w:bCs/>
          <w:iCs/>
          <w:sz w:val="22"/>
          <w:szCs w:val="22"/>
          <w:lang w:bidi="en-US"/>
        </w:rPr>
        <w:t xml:space="preserve">Κοινωνικές Παροχές </w:t>
      </w:r>
    </w:p>
    <w:p w:rsidR="00E71691" w:rsidRDefault="00E71691" w:rsidP="00E71691">
      <w:pPr>
        <w:jc w:val="both"/>
        <w:rPr>
          <w:bCs/>
          <w:i/>
          <w:iCs/>
          <w:szCs w:val="22"/>
        </w:rPr>
      </w:pPr>
    </w:p>
    <w:p w:rsidR="00E71691" w:rsidRPr="0076072C" w:rsidRDefault="00E71691" w:rsidP="00E71691">
      <w:pPr>
        <w:jc w:val="both"/>
        <w:rPr>
          <w:bCs/>
          <w:iCs/>
        </w:rPr>
      </w:pPr>
      <w:r w:rsidRPr="000F28A8">
        <w:rPr>
          <w:bCs/>
          <w:iCs/>
        </w:rPr>
        <w:t xml:space="preserve">Οι δαπάνες της κατηγορίας αυτής περιλαμβάνουν, μεταξύ άλλων, το επίδομα θέρμανσης, τις συντάξεις που πληρώνονται απευθείας από το κράτος, καθώς και τις λοιπές παροχές κοινωνικής πρόνοιας σε είδος και σε χρήμα και εκτιμάται ότι θα διαμορφωθούν στα 232 εκατ. ευρώ, αυξημένες κατά 97 εκατ. ευρώ έναντι του στόχου. Η αύξηση αυτή οφείλεται κυρίως στη </w:t>
      </w:r>
      <w:r>
        <w:rPr>
          <w:bCs/>
          <w:iCs/>
        </w:rPr>
        <w:t xml:space="preserve">σχεδιαζόμενη </w:t>
      </w:r>
      <w:r w:rsidR="005F0F98">
        <w:rPr>
          <w:bCs/>
          <w:iCs/>
        </w:rPr>
        <w:t>καταβολή</w:t>
      </w:r>
      <w:r w:rsidRPr="000F28A8">
        <w:rPr>
          <w:bCs/>
          <w:iCs/>
        </w:rPr>
        <w:t xml:space="preserve"> του επιδόματος θέρμανσης της χειμερινής περιόδου </w:t>
      </w:r>
      <w:r w:rsidR="00531B4F">
        <w:rPr>
          <w:bCs/>
          <w:iCs/>
        </w:rPr>
        <w:t>2020-</w:t>
      </w:r>
      <w:r w:rsidRPr="000F28A8">
        <w:rPr>
          <w:bCs/>
          <w:iCs/>
        </w:rPr>
        <w:t>2021, συνολικού ύψους 84 εκατ. ευρώ, εντός του 2020 προκειμένου να διευκολυνθούν τα ευάλωτα νοικοκυριά</w:t>
      </w:r>
      <w:r w:rsidR="005F0F98">
        <w:rPr>
          <w:bCs/>
          <w:iCs/>
        </w:rPr>
        <w:t xml:space="preserve">, ενώ </w:t>
      </w:r>
      <w:r w:rsidRPr="000F28A8">
        <w:rPr>
          <w:bCs/>
          <w:iCs/>
        </w:rPr>
        <w:t>αρχικά είχε προβλεφθεί να</w:t>
      </w:r>
      <w:r>
        <w:rPr>
          <w:bCs/>
          <w:iCs/>
        </w:rPr>
        <w:t xml:space="preserve"> </w:t>
      </w:r>
      <w:r w:rsidR="005F0F98">
        <w:rPr>
          <w:bCs/>
          <w:iCs/>
        </w:rPr>
        <w:t>καταβληθεί</w:t>
      </w:r>
      <w:r>
        <w:rPr>
          <w:bCs/>
          <w:iCs/>
        </w:rPr>
        <w:t xml:space="preserve"> στις αρχές του 2021.</w:t>
      </w:r>
    </w:p>
    <w:p w:rsidR="00E71691" w:rsidRPr="005410DB" w:rsidRDefault="00E71691" w:rsidP="00E71691">
      <w:pPr>
        <w:jc w:val="both"/>
        <w:rPr>
          <w:bCs/>
          <w:iCs/>
          <w:szCs w:val="22"/>
        </w:rPr>
      </w:pPr>
    </w:p>
    <w:p w:rsidR="00E71691" w:rsidRPr="00B3414B" w:rsidRDefault="00E71691" w:rsidP="008100EB">
      <w:pPr>
        <w:jc w:val="both"/>
        <w:rPr>
          <w:rFonts w:ascii="Arial Narrow" w:hAnsi="Arial Narrow"/>
          <w:b/>
          <w:bCs/>
          <w:iCs/>
          <w:sz w:val="22"/>
          <w:szCs w:val="22"/>
          <w:lang w:bidi="en-US"/>
        </w:rPr>
      </w:pPr>
      <w:r w:rsidRPr="00B3414B">
        <w:rPr>
          <w:rFonts w:ascii="Arial Narrow" w:hAnsi="Arial Narrow"/>
          <w:b/>
          <w:bCs/>
          <w:iCs/>
          <w:sz w:val="22"/>
          <w:szCs w:val="22"/>
          <w:lang w:bidi="en-US"/>
        </w:rPr>
        <w:t xml:space="preserve">Μεταβιβάσεις </w:t>
      </w:r>
    </w:p>
    <w:p w:rsidR="00E71691" w:rsidRDefault="00E71691" w:rsidP="00E71691">
      <w:pPr>
        <w:jc w:val="both"/>
        <w:rPr>
          <w:bCs/>
          <w:i/>
          <w:iCs/>
          <w:szCs w:val="22"/>
        </w:rPr>
      </w:pPr>
    </w:p>
    <w:p w:rsidR="00AF2F87" w:rsidRDefault="00E71691" w:rsidP="00E71691">
      <w:pPr>
        <w:jc w:val="both"/>
        <w:rPr>
          <w:bCs/>
          <w:iCs/>
          <w:szCs w:val="22"/>
        </w:rPr>
      </w:pPr>
      <w:r w:rsidRPr="00C860C1">
        <w:rPr>
          <w:bCs/>
          <w:iCs/>
          <w:szCs w:val="22"/>
        </w:rPr>
        <w:t>Οι δαπάνες της κατηγορίας αυτής περιλαμβάνουν επιχορηγήσεις και αποδόσεις σε</w:t>
      </w:r>
      <w:r>
        <w:rPr>
          <w:bCs/>
          <w:iCs/>
          <w:szCs w:val="22"/>
        </w:rPr>
        <w:t xml:space="preserve"> </w:t>
      </w:r>
      <w:r w:rsidRPr="00C860C1">
        <w:rPr>
          <w:bCs/>
          <w:iCs/>
          <w:szCs w:val="22"/>
        </w:rPr>
        <w:t xml:space="preserve">υποτομείς της Γενικής Κυβέρνησης, όπως ΟΤΑ, ΟΚΑ, νοσοκομεία και </w:t>
      </w:r>
      <w:r>
        <w:rPr>
          <w:bCs/>
          <w:iCs/>
          <w:szCs w:val="22"/>
        </w:rPr>
        <w:t>ΠΦΥ</w:t>
      </w:r>
      <w:r w:rsidRPr="00C860C1">
        <w:rPr>
          <w:bCs/>
          <w:iCs/>
          <w:szCs w:val="22"/>
        </w:rPr>
        <w:t>,</w:t>
      </w:r>
      <w:r>
        <w:rPr>
          <w:bCs/>
          <w:iCs/>
          <w:szCs w:val="22"/>
        </w:rPr>
        <w:t xml:space="preserve"> καθώς</w:t>
      </w:r>
      <w:r w:rsidRPr="00C860C1">
        <w:rPr>
          <w:bCs/>
          <w:iCs/>
          <w:szCs w:val="22"/>
        </w:rPr>
        <w:t xml:space="preserve"> και σε φορείς εκτός Γενικής Κυβέρνησης, οργανισμούς του εξωτερικού και </w:t>
      </w:r>
      <w:r w:rsidR="005F0F98">
        <w:rPr>
          <w:bCs/>
          <w:iCs/>
          <w:szCs w:val="22"/>
        </w:rPr>
        <w:t>σ</w:t>
      </w:r>
      <w:r w:rsidRPr="00C860C1">
        <w:rPr>
          <w:bCs/>
          <w:iCs/>
          <w:szCs w:val="22"/>
        </w:rPr>
        <w:t xml:space="preserve">την Ευρωπαϊκή Ένωση. Επίσης περιλαμβάνονται οι επιχορηγήσεις για επενδύσεις, οι καταπτώσεις εγγυήσεων, οι αναλήψεις χρεών φορέων Γενικής </w:t>
      </w:r>
      <w:r w:rsidRPr="000F28A8">
        <w:rPr>
          <w:bCs/>
          <w:iCs/>
          <w:szCs w:val="22"/>
        </w:rPr>
        <w:t>Κυβέρνησης, καθώς και οι αποζημιώσεις λόγω δικαστικών αποφάσεων.</w:t>
      </w:r>
    </w:p>
    <w:p w:rsidR="00E71691" w:rsidRPr="000F28A8" w:rsidRDefault="00E71691" w:rsidP="00E71691">
      <w:pPr>
        <w:jc w:val="both"/>
        <w:rPr>
          <w:bCs/>
          <w:iCs/>
          <w:szCs w:val="22"/>
        </w:rPr>
      </w:pPr>
      <w:r w:rsidRPr="000F28A8">
        <w:rPr>
          <w:bCs/>
          <w:iCs/>
          <w:szCs w:val="22"/>
        </w:rPr>
        <w:t xml:space="preserve"> </w:t>
      </w:r>
    </w:p>
    <w:p w:rsidR="00E71691" w:rsidRDefault="00E71691" w:rsidP="00E71691">
      <w:pPr>
        <w:jc w:val="both"/>
        <w:rPr>
          <w:bCs/>
          <w:iCs/>
          <w:szCs w:val="22"/>
        </w:rPr>
      </w:pPr>
      <w:r w:rsidRPr="000F28A8">
        <w:rPr>
          <w:bCs/>
          <w:iCs/>
          <w:szCs w:val="22"/>
        </w:rPr>
        <w:t>Οι συνολικές μεταβιβαστικές πληρωμές εκτιμάται ότι θα διαμορφωθούν στα 36.596 εκατ. ευρώ, αυξημένες κατά 8.751 εκατ. ευρώ, ως επί το πλείστον, λόγω της ανάγκης οικονομικής θωράκισης των πολιτών και των επιχ</w:t>
      </w:r>
      <w:r w:rsidR="008C61D3">
        <w:rPr>
          <w:bCs/>
          <w:iCs/>
          <w:szCs w:val="22"/>
        </w:rPr>
        <w:t>ειρήσεων απέναντι στην πανδημία.</w:t>
      </w:r>
    </w:p>
    <w:p w:rsidR="00AF2F87" w:rsidRDefault="00AF2F87" w:rsidP="00E71691">
      <w:pPr>
        <w:jc w:val="both"/>
        <w:rPr>
          <w:bCs/>
          <w:iCs/>
          <w:szCs w:val="22"/>
        </w:rPr>
      </w:pPr>
    </w:p>
    <w:p w:rsidR="00E71691" w:rsidRDefault="00E71691" w:rsidP="00E71691">
      <w:pPr>
        <w:jc w:val="both"/>
        <w:rPr>
          <w:bCs/>
          <w:iCs/>
          <w:szCs w:val="22"/>
        </w:rPr>
      </w:pPr>
      <w:r>
        <w:rPr>
          <w:bCs/>
          <w:iCs/>
          <w:szCs w:val="22"/>
        </w:rPr>
        <w:t xml:space="preserve">Τα μέτρα για την αντιμετώπιση της πανδημίας </w:t>
      </w:r>
      <w:proofErr w:type="spellStart"/>
      <w:r w:rsidR="008C61D3">
        <w:rPr>
          <w:bCs/>
          <w:iCs/>
          <w:szCs w:val="22"/>
          <w:lang w:val="en-US"/>
        </w:rPr>
        <w:t>C</w:t>
      </w:r>
      <w:r>
        <w:rPr>
          <w:bCs/>
          <w:iCs/>
          <w:szCs w:val="22"/>
          <w:lang w:val="en-US"/>
        </w:rPr>
        <w:t>ovid</w:t>
      </w:r>
      <w:proofErr w:type="spellEnd"/>
      <w:r w:rsidRPr="00FF7F99">
        <w:rPr>
          <w:bCs/>
          <w:iCs/>
          <w:szCs w:val="22"/>
        </w:rPr>
        <w:t>-19</w:t>
      </w:r>
      <w:r w:rsidR="008E6E7D">
        <w:rPr>
          <w:bCs/>
          <w:iCs/>
          <w:szCs w:val="22"/>
        </w:rPr>
        <w:t>,</w:t>
      </w:r>
      <w:r w:rsidRPr="00FF7F99">
        <w:rPr>
          <w:bCs/>
          <w:iCs/>
          <w:szCs w:val="22"/>
        </w:rPr>
        <w:t xml:space="preserve"> </w:t>
      </w:r>
      <w:r>
        <w:rPr>
          <w:bCs/>
          <w:iCs/>
          <w:szCs w:val="22"/>
        </w:rPr>
        <w:t>που αποτυπώνονται στην κατηγορία αυτή</w:t>
      </w:r>
      <w:r w:rsidRPr="00C66741">
        <w:rPr>
          <w:bCs/>
          <w:iCs/>
          <w:szCs w:val="22"/>
        </w:rPr>
        <w:t>,</w:t>
      </w:r>
      <w:r>
        <w:rPr>
          <w:bCs/>
          <w:iCs/>
          <w:szCs w:val="22"/>
        </w:rPr>
        <w:t xml:space="preserve"> </w:t>
      </w:r>
      <w:r w:rsidR="00D56FFD">
        <w:rPr>
          <w:bCs/>
          <w:iCs/>
          <w:szCs w:val="22"/>
        </w:rPr>
        <w:t xml:space="preserve">κατά το μέρος που επιβαρύνουν την κεντρική διοίκηση, </w:t>
      </w:r>
      <w:r>
        <w:rPr>
          <w:bCs/>
          <w:iCs/>
          <w:szCs w:val="22"/>
        </w:rPr>
        <w:t>συνολικού εκτιμώμενου κόστους 6.52</w:t>
      </w:r>
      <w:r w:rsidRPr="000F28A8">
        <w:rPr>
          <w:bCs/>
          <w:iCs/>
          <w:szCs w:val="22"/>
        </w:rPr>
        <w:t>8</w:t>
      </w:r>
      <w:r>
        <w:rPr>
          <w:bCs/>
          <w:iCs/>
          <w:szCs w:val="22"/>
        </w:rPr>
        <w:t xml:space="preserve"> εκατ. ευρώ</w:t>
      </w:r>
      <w:r w:rsidR="00BE23E9" w:rsidRPr="00BE23E9">
        <w:rPr>
          <w:bCs/>
          <w:iCs/>
          <w:szCs w:val="22"/>
        </w:rPr>
        <w:t>,</w:t>
      </w:r>
      <w:r>
        <w:rPr>
          <w:bCs/>
          <w:iCs/>
          <w:szCs w:val="22"/>
        </w:rPr>
        <w:t xml:space="preserve"> είναι τα εξής:</w:t>
      </w:r>
    </w:p>
    <w:p w:rsidR="00AF2F87" w:rsidRDefault="00AF2F87" w:rsidP="00E71691">
      <w:pPr>
        <w:jc w:val="both"/>
        <w:rPr>
          <w:bCs/>
          <w:iCs/>
          <w:szCs w:val="22"/>
        </w:rPr>
      </w:pPr>
    </w:p>
    <w:p w:rsidR="00E71691" w:rsidRPr="00E84072" w:rsidRDefault="00E71691" w:rsidP="00E84072">
      <w:pPr>
        <w:pStyle w:val="ListParagraph"/>
        <w:numPr>
          <w:ilvl w:val="0"/>
          <w:numId w:val="5"/>
        </w:numPr>
        <w:spacing w:after="0" w:line="240" w:lineRule="auto"/>
        <w:ind w:left="425" w:hanging="425"/>
        <w:contextualSpacing w:val="0"/>
        <w:jc w:val="both"/>
        <w:rPr>
          <w:rFonts w:ascii="Times New Roman" w:hAnsi="Times New Roman"/>
          <w:sz w:val="24"/>
          <w:szCs w:val="24"/>
        </w:rPr>
      </w:pPr>
      <w:r w:rsidRPr="00E84072">
        <w:rPr>
          <w:rFonts w:ascii="Times New Roman" w:hAnsi="Times New Roman"/>
          <w:sz w:val="24"/>
          <w:szCs w:val="24"/>
        </w:rPr>
        <w:t xml:space="preserve">η </w:t>
      </w:r>
      <w:r w:rsidR="00BA1ABA" w:rsidRPr="00E84072">
        <w:rPr>
          <w:rFonts w:ascii="Times New Roman" w:hAnsi="Times New Roman"/>
          <w:sz w:val="24"/>
          <w:szCs w:val="24"/>
        </w:rPr>
        <w:t>αποζημίωση ειδικού σκοπού ύψους 534 ευρώ σε μηναία βάση των εργαζομένων των οποίων οι συμβάσεις εργασίας τίθενται σε προσωρινή αναστολή</w:t>
      </w:r>
      <w:r>
        <w:rPr>
          <w:rFonts w:ascii="Times New Roman" w:hAnsi="Times New Roman"/>
          <w:sz w:val="24"/>
          <w:szCs w:val="24"/>
        </w:rPr>
        <w:t>,</w:t>
      </w:r>
    </w:p>
    <w:p w:rsidR="00E71691" w:rsidRPr="00E84072" w:rsidRDefault="00E71691" w:rsidP="00E84072">
      <w:pPr>
        <w:pStyle w:val="ListParagraph"/>
        <w:numPr>
          <w:ilvl w:val="0"/>
          <w:numId w:val="5"/>
        </w:numPr>
        <w:spacing w:after="0" w:line="240" w:lineRule="auto"/>
        <w:ind w:left="425" w:hanging="425"/>
        <w:contextualSpacing w:val="0"/>
        <w:jc w:val="both"/>
        <w:rPr>
          <w:rFonts w:ascii="Times New Roman" w:hAnsi="Times New Roman"/>
          <w:sz w:val="24"/>
          <w:szCs w:val="24"/>
        </w:rPr>
      </w:pPr>
      <w:r w:rsidRPr="00E84072">
        <w:rPr>
          <w:rFonts w:ascii="Times New Roman" w:hAnsi="Times New Roman"/>
          <w:sz w:val="24"/>
          <w:szCs w:val="24"/>
        </w:rPr>
        <w:t xml:space="preserve">η </w:t>
      </w:r>
      <w:r w:rsidR="00BA1ABA">
        <w:rPr>
          <w:rFonts w:ascii="Times New Roman" w:hAnsi="Times New Roman"/>
          <w:sz w:val="24"/>
          <w:szCs w:val="24"/>
        </w:rPr>
        <w:t>α</w:t>
      </w:r>
      <w:r w:rsidR="00BA1ABA" w:rsidRPr="00BA1ABA">
        <w:rPr>
          <w:rFonts w:ascii="Times New Roman" w:hAnsi="Times New Roman"/>
          <w:sz w:val="24"/>
          <w:szCs w:val="24"/>
        </w:rPr>
        <w:t>ποζημίωση ειδικού σκοπού ύψους 600 ευρώ σε έξι επιστημονικούς κλάδους (οικονομολόγους/ λογιστές, μηχανικούς, δικηγόρους, ιατρούς, εκπαιδευτικούς και ερευνητές)</w:t>
      </w:r>
      <w:r w:rsidR="00E84072">
        <w:rPr>
          <w:rFonts w:ascii="Times New Roman" w:hAnsi="Times New Roman"/>
          <w:sz w:val="24"/>
          <w:szCs w:val="24"/>
        </w:rPr>
        <w:t>,</w:t>
      </w:r>
    </w:p>
    <w:p w:rsidR="00E71691" w:rsidRPr="00E84072" w:rsidRDefault="00BA1ABA" w:rsidP="00E84072">
      <w:pPr>
        <w:pStyle w:val="ListParagraph"/>
        <w:numPr>
          <w:ilvl w:val="0"/>
          <w:numId w:val="5"/>
        </w:numPr>
        <w:spacing w:after="0" w:line="240" w:lineRule="auto"/>
        <w:ind w:left="425" w:hanging="425"/>
        <w:contextualSpacing w:val="0"/>
        <w:jc w:val="both"/>
        <w:rPr>
          <w:rFonts w:ascii="Times New Roman" w:hAnsi="Times New Roman"/>
          <w:sz w:val="24"/>
          <w:szCs w:val="24"/>
        </w:rPr>
      </w:pPr>
      <w:r w:rsidRPr="00E84072">
        <w:rPr>
          <w:rFonts w:ascii="Times New Roman" w:hAnsi="Times New Roman"/>
          <w:sz w:val="24"/>
          <w:szCs w:val="24"/>
        </w:rPr>
        <w:t>η κάλυψη από τον κρατικό προϋπολογισμό των ασφαλιστικών εισφορών επί του ονομαστικού μισθού, των εργαζομένων των οποίων οι συμβάσεις εργασίας τίθενται σε προσωρινή αναστολή</w:t>
      </w:r>
      <w:r w:rsidR="00E71691">
        <w:rPr>
          <w:rFonts w:ascii="Times New Roman" w:hAnsi="Times New Roman"/>
          <w:sz w:val="24"/>
          <w:szCs w:val="24"/>
        </w:rPr>
        <w:t>,</w:t>
      </w:r>
    </w:p>
    <w:p w:rsidR="00E71691" w:rsidRPr="00E84072"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E84072">
        <w:rPr>
          <w:rFonts w:ascii="Times New Roman" w:hAnsi="Times New Roman"/>
          <w:sz w:val="24"/>
          <w:szCs w:val="24"/>
        </w:rPr>
        <w:t xml:space="preserve">η </w:t>
      </w:r>
      <w:r w:rsidRPr="00531B4F">
        <w:rPr>
          <w:rFonts w:ascii="Times New Roman" w:hAnsi="Times New Roman"/>
          <w:sz w:val="24"/>
          <w:szCs w:val="24"/>
        </w:rPr>
        <w:t>επιστρεπτέα</w:t>
      </w:r>
      <w:r w:rsidRPr="00E84072">
        <w:rPr>
          <w:rFonts w:ascii="Times New Roman" w:hAnsi="Times New Roman"/>
          <w:sz w:val="24"/>
          <w:szCs w:val="24"/>
        </w:rPr>
        <w:t xml:space="preserve"> προκαταβολή</w:t>
      </w:r>
      <w:r w:rsidR="00E84072">
        <w:rPr>
          <w:rFonts w:ascii="Times New Roman" w:hAnsi="Times New Roman"/>
          <w:sz w:val="24"/>
          <w:szCs w:val="24"/>
        </w:rPr>
        <w:t>,</w:t>
      </w:r>
    </w:p>
    <w:p w:rsidR="00E71691" w:rsidRPr="007A3650" w:rsidRDefault="00E71691" w:rsidP="00E84072">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κάλυψη </w:t>
      </w:r>
      <w:r w:rsidR="00BA1ABA" w:rsidRPr="00BA1ABA">
        <w:rPr>
          <w:rFonts w:ascii="Times New Roman" w:hAnsi="Times New Roman"/>
          <w:sz w:val="24"/>
          <w:szCs w:val="24"/>
        </w:rPr>
        <w:t>από τον κρατικό προϋπολογισμό του μέρους του δώρου Πάσχα που αναλογεί στη χρονική περίοδο της προσωρινής αναστολής της σύμβασης εργασίας</w:t>
      </w:r>
      <w:r>
        <w:rPr>
          <w:rFonts w:ascii="Times New Roman" w:hAnsi="Times New Roman"/>
          <w:sz w:val="24"/>
          <w:szCs w:val="24"/>
        </w:rPr>
        <w:t>,</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επιχορήγηση </w:t>
      </w:r>
      <w:r w:rsidR="00E72EC7">
        <w:rPr>
          <w:rFonts w:ascii="Times New Roman" w:hAnsi="Times New Roman"/>
          <w:sz w:val="24"/>
          <w:szCs w:val="24"/>
        </w:rPr>
        <w:t>για τη</w:t>
      </w:r>
      <w:r w:rsidR="00E72EC7" w:rsidRPr="007A3650">
        <w:rPr>
          <w:rFonts w:ascii="Times New Roman" w:hAnsi="Times New Roman"/>
          <w:sz w:val="24"/>
          <w:szCs w:val="24"/>
        </w:rPr>
        <w:t xml:space="preserve"> στήριξη του π</w:t>
      </w:r>
      <w:r w:rsidR="00E72EC7">
        <w:rPr>
          <w:rFonts w:ascii="Times New Roman" w:hAnsi="Times New Roman"/>
          <w:sz w:val="24"/>
          <w:szCs w:val="24"/>
        </w:rPr>
        <w:t xml:space="preserve">ρωτογενούς τομέα της οικονομίας μέσω </w:t>
      </w:r>
      <w:r>
        <w:rPr>
          <w:rFonts w:ascii="Times New Roman" w:hAnsi="Times New Roman"/>
          <w:sz w:val="24"/>
          <w:szCs w:val="24"/>
        </w:rPr>
        <w:t>το</w:t>
      </w:r>
      <w:r w:rsidR="00E72EC7">
        <w:rPr>
          <w:rFonts w:ascii="Times New Roman" w:hAnsi="Times New Roman"/>
          <w:sz w:val="24"/>
          <w:szCs w:val="24"/>
        </w:rPr>
        <w:t>υ</w:t>
      </w:r>
      <w:r w:rsidRPr="007A3650">
        <w:rPr>
          <w:rFonts w:ascii="Times New Roman" w:hAnsi="Times New Roman"/>
          <w:sz w:val="24"/>
          <w:szCs w:val="24"/>
        </w:rPr>
        <w:t xml:space="preserve"> Υπουργείο</w:t>
      </w:r>
      <w:r w:rsidR="00E72EC7">
        <w:rPr>
          <w:rFonts w:ascii="Times New Roman" w:hAnsi="Times New Roman"/>
          <w:sz w:val="24"/>
          <w:szCs w:val="24"/>
        </w:rPr>
        <w:t>υ</w:t>
      </w:r>
      <w:r w:rsidRPr="007A3650">
        <w:rPr>
          <w:rFonts w:ascii="Times New Roman" w:hAnsi="Times New Roman"/>
          <w:sz w:val="24"/>
          <w:szCs w:val="24"/>
        </w:rPr>
        <w:t xml:space="preserve"> Αγροτική</w:t>
      </w:r>
      <w:r w:rsidR="008E6E7D">
        <w:rPr>
          <w:rFonts w:ascii="Times New Roman" w:hAnsi="Times New Roman"/>
          <w:sz w:val="24"/>
          <w:szCs w:val="24"/>
        </w:rPr>
        <w:t>ς Ανάπτυξης και Τροφίμων</w:t>
      </w:r>
      <w:r>
        <w:rPr>
          <w:rFonts w:ascii="Times New Roman" w:hAnsi="Times New Roman"/>
          <w:sz w:val="24"/>
          <w:szCs w:val="24"/>
        </w:rPr>
        <w:t>,</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εισαγωγή άδειας ειδικού σκοπού για εργαζόμενους</w:t>
      </w:r>
      <w:r>
        <w:rPr>
          <w:rFonts w:ascii="Times New Roman" w:hAnsi="Times New Roman"/>
          <w:sz w:val="24"/>
          <w:szCs w:val="24"/>
        </w:rPr>
        <w:t xml:space="preserve"> του ιδιωτικού τομέα</w:t>
      </w:r>
      <w:r w:rsidRPr="007A3650">
        <w:rPr>
          <w:rFonts w:ascii="Times New Roman" w:hAnsi="Times New Roman"/>
          <w:sz w:val="24"/>
          <w:szCs w:val="24"/>
        </w:rPr>
        <w:t xml:space="preserve"> με παιδιά </w:t>
      </w:r>
      <w:r w:rsidRPr="00E84072">
        <w:rPr>
          <w:rFonts w:ascii="Times New Roman" w:hAnsi="Times New Roman"/>
          <w:sz w:val="24"/>
          <w:szCs w:val="24"/>
        </w:rPr>
        <w:t xml:space="preserve">που </w:t>
      </w:r>
      <w:r w:rsidRPr="00531B4F">
        <w:rPr>
          <w:rFonts w:ascii="Times New Roman" w:hAnsi="Times New Roman"/>
          <w:sz w:val="24"/>
          <w:szCs w:val="24"/>
        </w:rPr>
        <w:t>φοιτούν</w:t>
      </w:r>
      <w:r w:rsidRPr="007A3650">
        <w:rPr>
          <w:rFonts w:ascii="Times New Roman" w:hAnsi="Times New Roman"/>
          <w:sz w:val="24"/>
          <w:szCs w:val="24"/>
        </w:rPr>
        <w:t xml:space="preserve"> σε σχολεία (</w:t>
      </w:r>
      <w:r w:rsidR="008E6E7D">
        <w:rPr>
          <w:rFonts w:ascii="Times New Roman" w:hAnsi="Times New Roman"/>
          <w:sz w:val="24"/>
          <w:szCs w:val="24"/>
        </w:rPr>
        <w:t xml:space="preserve">για την περίοδο </w:t>
      </w:r>
      <w:r>
        <w:rPr>
          <w:rFonts w:ascii="Times New Roman" w:hAnsi="Times New Roman"/>
          <w:sz w:val="24"/>
          <w:szCs w:val="24"/>
        </w:rPr>
        <w:t>που</w:t>
      </w:r>
      <w:r w:rsidRPr="007A3650">
        <w:rPr>
          <w:rFonts w:ascii="Times New Roman" w:hAnsi="Times New Roman"/>
          <w:sz w:val="24"/>
          <w:szCs w:val="24"/>
        </w:rPr>
        <w:t xml:space="preserve"> τα σχολεία είναι κλειστά)</w:t>
      </w:r>
      <w:r w:rsidR="00BA1ABA">
        <w:rPr>
          <w:rFonts w:ascii="Times New Roman" w:hAnsi="Times New Roman"/>
          <w:sz w:val="24"/>
          <w:szCs w:val="24"/>
        </w:rPr>
        <w:t>,</w:t>
      </w:r>
    </w:p>
    <w:p w:rsidR="00E71691" w:rsidRPr="007A3650" w:rsidRDefault="00E71691" w:rsidP="00E84072">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η αποζημίωση </w:t>
      </w:r>
      <w:r w:rsidR="00BA1ABA">
        <w:rPr>
          <w:rFonts w:ascii="Times New Roman" w:hAnsi="Times New Roman"/>
          <w:sz w:val="24"/>
          <w:szCs w:val="24"/>
        </w:rPr>
        <w:t xml:space="preserve">των </w:t>
      </w:r>
      <w:r w:rsidR="00BA1ABA" w:rsidRPr="00BA1ABA">
        <w:rPr>
          <w:rFonts w:ascii="Times New Roman" w:hAnsi="Times New Roman"/>
          <w:sz w:val="24"/>
          <w:szCs w:val="24"/>
        </w:rPr>
        <w:t>ακτοπλοϊκών γραμμών</w:t>
      </w:r>
      <w:r>
        <w:rPr>
          <w:rFonts w:ascii="Times New Roman" w:hAnsi="Times New Roman"/>
          <w:sz w:val="24"/>
          <w:szCs w:val="24"/>
        </w:rPr>
        <w:t>,</w:t>
      </w:r>
    </w:p>
    <w:p w:rsidR="00E71691"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ο</w:t>
      </w:r>
      <w:r w:rsidRPr="007A3650">
        <w:rPr>
          <w:rFonts w:ascii="Times New Roman" w:hAnsi="Times New Roman"/>
          <w:sz w:val="24"/>
          <w:szCs w:val="24"/>
        </w:rPr>
        <w:t>ι πρόσθετες υγειονομικές δαπάνες</w:t>
      </w:r>
      <w:r w:rsidR="000A34CC">
        <w:rPr>
          <w:rFonts w:ascii="Times New Roman" w:hAnsi="Times New Roman"/>
          <w:sz w:val="24"/>
          <w:szCs w:val="24"/>
        </w:rPr>
        <w:t xml:space="preserve"> φορέων κεντρικής διοίκησης και</w:t>
      </w:r>
      <w:r w:rsidRPr="007A3650">
        <w:rPr>
          <w:rFonts w:ascii="Times New Roman" w:hAnsi="Times New Roman"/>
          <w:sz w:val="24"/>
          <w:szCs w:val="24"/>
        </w:rPr>
        <w:t xml:space="preserve"> ι</w:t>
      </w:r>
      <w:r>
        <w:rPr>
          <w:rFonts w:ascii="Times New Roman" w:hAnsi="Times New Roman"/>
          <w:sz w:val="24"/>
          <w:szCs w:val="24"/>
        </w:rPr>
        <w:t>διαιτέρως του Υπουργείου Υγείας,</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τ</w:t>
      </w:r>
      <w:r w:rsidRPr="00421535">
        <w:rPr>
          <w:rFonts w:ascii="Times New Roman" w:hAnsi="Times New Roman"/>
          <w:sz w:val="24"/>
          <w:szCs w:val="24"/>
        </w:rPr>
        <w:t xml:space="preserve">ο κόστος επιδότησης πρώτης κατοικίας για δανειολήπτες που επλήγησαν από τον </w:t>
      </w:r>
      <w:proofErr w:type="spellStart"/>
      <w:r w:rsidRPr="00421535">
        <w:rPr>
          <w:rFonts w:ascii="Times New Roman" w:hAnsi="Times New Roman"/>
          <w:sz w:val="24"/>
          <w:szCs w:val="24"/>
        </w:rPr>
        <w:t>κορωνοϊό</w:t>
      </w:r>
      <w:proofErr w:type="spellEnd"/>
      <w:r w:rsidRPr="00421535">
        <w:rPr>
          <w:rFonts w:ascii="Times New Roman" w:hAnsi="Times New Roman"/>
          <w:sz w:val="24"/>
          <w:szCs w:val="24"/>
        </w:rPr>
        <w:t xml:space="preserve"> (πρόγραμμα ΓΕΦΥΡΑ),</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lastRenderedPageBreak/>
        <w:t>η</w:t>
      </w:r>
      <w:r w:rsidR="008E6E7D">
        <w:rPr>
          <w:rFonts w:ascii="Times New Roman" w:hAnsi="Times New Roman"/>
          <w:sz w:val="24"/>
          <w:szCs w:val="24"/>
        </w:rPr>
        <w:t xml:space="preserve"> επιχορήγηση </w:t>
      </w:r>
      <w:r w:rsidR="00E72EC7" w:rsidRPr="007A3650">
        <w:rPr>
          <w:rFonts w:ascii="Times New Roman" w:hAnsi="Times New Roman"/>
          <w:sz w:val="24"/>
          <w:szCs w:val="24"/>
        </w:rPr>
        <w:t xml:space="preserve">για </w:t>
      </w:r>
      <w:r w:rsidR="00E72EC7">
        <w:rPr>
          <w:rFonts w:ascii="Times New Roman" w:hAnsi="Times New Roman"/>
          <w:sz w:val="24"/>
          <w:szCs w:val="24"/>
        </w:rPr>
        <w:t>την ενίσχυση του</w:t>
      </w:r>
      <w:r w:rsidR="00E72EC7" w:rsidRPr="007A3650">
        <w:rPr>
          <w:rFonts w:ascii="Times New Roman" w:hAnsi="Times New Roman"/>
          <w:sz w:val="24"/>
          <w:szCs w:val="24"/>
        </w:rPr>
        <w:t xml:space="preserve"> κλάδο</w:t>
      </w:r>
      <w:r w:rsidR="00E72EC7">
        <w:rPr>
          <w:rFonts w:ascii="Times New Roman" w:hAnsi="Times New Roman"/>
          <w:sz w:val="24"/>
          <w:szCs w:val="24"/>
        </w:rPr>
        <w:t>υ</w:t>
      </w:r>
      <w:r w:rsidR="00E72EC7" w:rsidRPr="007A3650">
        <w:rPr>
          <w:rFonts w:ascii="Times New Roman" w:hAnsi="Times New Roman"/>
          <w:sz w:val="24"/>
          <w:szCs w:val="24"/>
        </w:rPr>
        <w:t xml:space="preserve"> του πολι</w:t>
      </w:r>
      <w:r w:rsidR="00E72EC7">
        <w:rPr>
          <w:rFonts w:ascii="Times New Roman" w:hAnsi="Times New Roman"/>
          <w:sz w:val="24"/>
          <w:szCs w:val="24"/>
        </w:rPr>
        <w:t xml:space="preserve">τισμού μέσω </w:t>
      </w:r>
      <w:r w:rsidRPr="007A3650">
        <w:rPr>
          <w:rFonts w:ascii="Times New Roman" w:hAnsi="Times New Roman"/>
          <w:sz w:val="24"/>
          <w:szCs w:val="24"/>
        </w:rPr>
        <w:t>το</w:t>
      </w:r>
      <w:r w:rsidR="00E72EC7">
        <w:rPr>
          <w:rFonts w:ascii="Times New Roman" w:hAnsi="Times New Roman"/>
          <w:sz w:val="24"/>
          <w:szCs w:val="24"/>
        </w:rPr>
        <w:t>υ</w:t>
      </w:r>
      <w:r w:rsidRPr="007A3650">
        <w:rPr>
          <w:rFonts w:ascii="Times New Roman" w:hAnsi="Times New Roman"/>
          <w:sz w:val="24"/>
          <w:szCs w:val="24"/>
        </w:rPr>
        <w:t xml:space="preserve"> Υπουργείο</w:t>
      </w:r>
      <w:r w:rsidR="00E72EC7">
        <w:rPr>
          <w:rFonts w:ascii="Times New Roman" w:hAnsi="Times New Roman"/>
          <w:sz w:val="24"/>
          <w:szCs w:val="24"/>
        </w:rPr>
        <w:t>υ</w:t>
      </w:r>
      <w:r w:rsidRPr="007A3650">
        <w:rPr>
          <w:rFonts w:ascii="Times New Roman" w:hAnsi="Times New Roman"/>
          <w:sz w:val="24"/>
          <w:szCs w:val="24"/>
        </w:rPr>
        <w:t xml:space="preserve"> Πολιτισμού</w:t>
      </w:r>
      <w:r>
        <w:rPr>
          <w:rFonts w:ascii="Times New Roman" w:hAnsi="Times New Roman"/>
          <w:sz w:val="24"/>
          <w:szCs w:val="24"/>
        </w:rPr>
        <w:t xml:space="preserve"> και Αθλητισμού,</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τ</w:t>
      </w:r>
      <w:r w:rsidRPr="007A3650">
        <w:rPr>
          <w:rFonts w:ascii="Times New Roman" w:hAnsi="Times New Roman"/>
          <w:sz w:val="24"/>
          <w:szCs w:val="24"/>
        </w:rPr>
        <w:t>ο πρόγραμμα βραχυ</w:t>
      </w:r>
      <w:r w:rsidR="00AA6BF5">
        <w:rPr>
          <w:rFonts w:ascii="Times New Roman" w:hAnsi="Times New Roman"/>
          <w:sz w:val="24"/>
          <w:szCs w:val="24"/>
        </w:rPr>
        <w:t>χρόνιας</w:t>
      </w:r>
      <w:r w:rsidRPr="007A3650">
        <w:rPr>
          <w:rFonts w:ascii="Times New Roman" w:hAnsi="Times New Roman"/>
          <w:sz w:val="24"/>
          <w:szCs w:val="24"/>
        </w:rPr>
        <w:t xml:space="preserve"> απασχόλησης</w:t>
      </w:r>
      <w:r w:rsidR="00BA1ABA">
        <w:rPr>
          <w:rFonts w:ascii="Times New Roman" w:hAnsi="Times New Roman"/>
          <w:sz w:val="24"/>
          <w:szCs w:val="24"/>
        </w:rPr>
        <w:t xml:space="preserve"> ΣΥΝΕΡΓΑΣΙΑ</w:t>
      </w:r>
      <w:r w:rsidRPr="007A3650">
        <w:rPr>
          <w:rFonts w:ascii="Times New Roman" w:hAnsi="Times New Roman"/>
          <w:sz w:val="24"/>
          <w:szCs w:val="24"/>
        </w:rPr>
        <w:t xml:space="preserve">, </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κάλυψη του </w:t>
      </w:r>
      <w:r w:rsidR="006601D6">
        <w:rPr>
          <w:rFonts w:ascii="Times New Roman" w:hAnsi="Times New Roman"/>
          <w:sz w:val="24"/>
          <w:szCs w:val="24"/>
        </w:rPr>
        <w:t xml:space="preserve">πρόσθετου </w:t>
      </w:r>
      <w:r w:rsidRPr="007A3650">
        <w:rPr>
          <w:rFonts w:ascii="Times New Roman" w:hAnsi="Times New Roman"/>
          <w:sz w:val="24"/>
          <w:szCs w:val="24"/>
        </w:rPr>
        <w:t>κόστους το</w:t>
      </w:r>
      <w:r w:rsidR="00A610F7">
        <w:rPr>
          <w:rFonts w:ascii="Times New Roman" w:hAnsi="Times New Roman"/>
          <w:sz w:val="24"/>
          <w:szCs w:val="24"/>
        </w:rPr>
        <w:t xml:space="preserve">υ </w:t>
      </w:r>
      <w:r w:rsidRPr="007A3650">
        <w:rPr>
          <w:rFonts w:ascii="Times New Roman" w:hAnsi="Times New Roman"/>
          <w:sz w:val="24"/>
          <w:szCs w:val="24"/>
        </w:rPr>
        <w:t>δώρο</w:t>
      </w:r>
      <w:r w:rsidR="00A610F7">
        <w:rPr>
          <w:rFonts w:ascii="Times New Roman" w:hAnsi="Times New Roman"/>
          <w:sz w:val="24"/>
          <w:szCs w:val="24"/>
        </w:rPr>
        <w:t>υ</w:t>
      </w:r>
      <w:r w:rsidRPr="007A3650">
        <w:rPr>
          <w:rFonts w:ascii="Times New Roman" w:hAnsi="Times New Roman"/>
          <w:sz w:val="24"/>
          <w:szCs w:val="24"/>
        </w:rPr>
        <w:t xml:space="preserve"> Χρι</w:t>
      </w:r>
      <w:r>
        <w:rPr>
          <w:rFonts w:ascii="Times New Roman" w:hAnsi="Times New Roman"/>
          <w:sz w:val="24"/>
          <w:szCs w:val="24"/>
        </w:rPr>
        <w:t>στουγέννων</w:t>
      </w:r>
      <w:r w:rsidR="00A610F7">
        <w:rPr>
          <w:rFonts w:ascii="Times New Roman" w:hAnsi="Times New Roman"/>
          <w:sz w:val="24"/>
          <w:szCs w:val="24"/>
        </w:rPr>
        <w:t xml:space="preserve"> των υπαλλήλων </w:t>
      </w:r>
      <w:r w:rsidR="006601D6">
        <w:rPr>
          <w:rFonts w:ascii="Times New Roman" w:hAnsi="Times New Roman"/>
          <w:sz w:val="24"/>
          <w:szCs w:val="24"/>
        </w:rPr>
        <w:t xml:space="preserve">που λαμβάνουν ειδική αποζημίωση λόγω </w:t>
      </w:r>
      <w:r w:rsidR="00BA1ABA">
        <w:rPr>
          <w:rFonts w:ascii="Times New Roman" w:hAnsi="Times New Roman"/>
          <w:sz w:val="24"/>
          <w:szCs w:val="24"/>
        </w:rPr>
        <w:t xml:space="preserve">προσωρινής </w:t>
      </w:r>
      <w:r w:rsidR="006601D6">
        <w:rPr>
          <w:rFonts w:ascii="Times New Roman" w:hAnsi="Times New Roman"/>
          <w:sz w:val="24"/>
          <w:szCs w:val="24"/>
        </w:rPr>
        <w:t>αναστολής της σύμβασης εργασίας</w:t>
      </w:r>
      <w:r>
        <w:rPr>
          <w:rFonts w:ascii="Times New Roman" w:hAnsi="Times New Roman"/>
          <w:sz w:val="24"/>
          <w:szCs w:val="24"/>
        </w:rPr>
        <w:t>,</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αποζημίωση</w:t>
      </w:r>
      <w:r w:rsidR="00BA1ABA">
        <w:rPr>
          <w:rFonts w:ascii="Times New Roman" w:hAnsi="Times New Roman"/>
          <w:sz w:val="24"/>
          <w:szCs w:val="24"/>
        </w:rPr>
        <w:t xml:space="preserve"> ειδικού σκοπού</w:t>
      </w:r>
      <w:r w:rsidRPr="007A3650">
        <w:rPr>
          <w:rFonts w:ascii="Times New Roman" w:hAnsi="Times New Roman"/>
          <w:sz w:val="24"/>
          <w:szCs w:val="24"/>
        </w:rPr>
        <w:t xml:space="preserve"> για εποχιακού</w:t>
      </w:r>
      <w:r>
        <w:rPr>
          <w:rFonts w:ascii="Times New Roman" w:hAnsi="Times New Roman"/>
          <w:sz w:val="24"/>
          <w:szCs w:val="24"/>
        </w:rPr>
        <w:t>ς εργαζόμενους στον τουρισμό,</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αποζημίωση ανά θέση επιβάτη </w:t>
      </w:r>
      <w:r>
        <w:rPr>
          <w:rFonts w:ascii="Times New Roman" w:hAnsi="Times New Roman"/>
          <w:sz w:val="24"/>
          <w:szCs w:val="24"/>
        </w:rPr>
        <w:t>προς τις</w:t>
      </w:r>
      <w:r w:rsidRPr="007A3650">
        <w:rPr>
          <w:rFonts w:ascii="Times New Roman" w:hAnsi="Times New Roman"/>
          <w:sz w:val="24"/>
          <w:szCs w:val="24"/>
        </w:rPr>
        <w:t xml:space="preserve"> αεροπορικές εταιρείες</w:t>
      </w:r>
      <w:r>
        <w:rPr>
          <w:rFonts w:ascii="Times New Roman" w:hAnsi="Times New Roman"/>
          <w:sz w:val="24"/>
          <w:szCs w:val="24"/>
        </w:rPr>
        <w:t>,</w:t>
      </w:r>
    </w:p>
    <w:p w:rsidR="00E71691" w:rsidRPr="007A3650" w:rsidRDefault="005C087C"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οι</w:t>
      </w:r>
      <w:r w:rsidR="00E71691" w:rsidRPr="007A3650">
        <w:rPr>
          <w:rFonts w:ascii="Times New Roman" w:hAnsi="Times New Roman"/>
          <w:sz w:val="24"/>
          <w:szCs w:val="24"/>
        </w:rPr>
        <w:t xml:space="preserve"> αποζημ</w:t>
      </w:r>
      <w:r>
        <w:rPr>
          <w:rFonts w:ascii="Times New Roman" w:hAnsi="Times New Roman"/>
          <w:sz w:val="24"/>
          <w:szCs w:val="24"/>
        </w:rPr>
        <w:t>ιώσεις</w:t>
      </w:r>
      <w:r w:rsidR="00E71691" w:rsidRPr="007A3650">
        <w:rPr>
          <w:rFonts w:ascii="Times New Roman" w:hAnsi="Times New Roman"/>
          <w:sz w:val="24"/>
          <w:szCs w:val="24"/>
        </w:rPr>
        <w:t xml:space="preserve"> σε ερασιτεχνικούς αθλητικούς συλλόγους</w:t>
      </w:r>
      <w:r w:rsidR="00E71691">
        <w:rPr>
          <w:rFonts w:ascii="Times New Roman" w:hAnsi="Times New Roman"/>
          <w:sz w:val="24"/>
          <w:szCs w:val="24"/>
        </w:rPr>
        <w:t>,</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κάλυψη ασφαλιστικών εισφορών των υπαλ</w:t>
      </w:r>
      <w:r>
        <w:rPr>
          <w:rFonts w:ascii="Times New Roman" w:hAnsi="Times New Roman"/>
          <w:sz w:val="24"/>
          <w:szCs w:val="24"/>
        </w:rPr>
        <w:t>λήλων εποχιακών επιχειρήσεων,</w:t>
      </w:r>
    </w:p>
    <w:p w:rsidR="00E71691" w:rsidRPr="007A3650" w:rsidRDefault="00E71691" w:rsidP="00E84072">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w:t>
      </w:r>
      <w:r w:rsidR="00BA1ABA">
        <w:rPr>
          <w:rFonts w:ascii="Times New Roman" w:hAnsi="Times New Roman"/>
          <w:sz w:val="24"/>
          <w:szCs w:val="24"/>
        </w:rPr>
        <w:t>κ</w:t>
      </w:r>
      <w:r w:rsidR="00BA1ABA" w:rsidRPr="00BA1ABA">
        <w:rPr>
          <w:rFonts w:ascii="Times New Roman" w:hAnsi="Times New Roman"/>
          <w:sz w:val="24"/>
          <w:szCs w:val="24"/>
        </w:rPr>
        <w:t>άλυψη των ασφαλιστικών εισφορών από τον κρατικό προϋπολογισμό και</w:t>
      </w:r>
      <w:r w:rsidR="00E84072">
        <w:rPr>
          <w:rFonts w:ascii="Times New Roman" w:hAnsi="Times New Roman"/>
          <w:sz w:val="24"/>
          <w:szCs w:val="24"/>
        </w:rPr>
        <w:t xml:space="preserve"> η</w:t>
      </w:r>
      <w:r w:rsidR="00BA1ABA" w:rsidRPr="00BA1ABA">
        <w:rPr>
          <w:rFonts w:ascii="Times New Roman" w:hAnsi="Times New Roman"/>
          <w:sz w:val="24"/>
          <w:szCs w:val="24"/>
        </w:rPr>
        <w:t xml:space="preserve"> επιδότηση 200 ευρώ σε περίπτωση πρόσληψης μακροχρόνια ανέργου, για περίοδο 6 μηνών, στο πλαίσιο του προγράμματος για τη δημιουργία 100.000 νέων θέσεων εργασίας</w:t>
      </w:r>
      <w:r>
        <w:rPr>
          <w:rFonts w:ascii="Times New Roman" w:hAnsi="Times New Roman"/>
          <w:sz w:val="24"/>
          <w:szCs w:val="24"/>
        </w:rPr>
        <w:t>,</w:t>
      </w:r>
    </w:p>
    <w:p w:rsidR="00E71691"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7A3650">
        <w:rPr>
          <w:rFonts w:ascii="Times New Roman" w:hAnsi="Times New Roman"/>
          <w:sz w:val="24"/>
          <w:szCs w:val="24"/>
        </w:rPr>
        <w:t xml:space="preserve"> αποζημίωση σε ΤΡΑΙΝΟΣΕ και ΚΤΕΛ λόγω του περιορισμού στις θέσεις επιβατών</w:t>
      </w:r>
      <w:r>
        <w:rPr>
          <w:rFonts w:ascii="Times New Roman" w:hAnsi="Times New Roman"/>
          <w:sz w:val="24"/>
          <w:szCs w:val="24"/>
        </w:rPr>
        <w:t xml:space="preserve"> και</w:t>
      </w:r>
    </w:p>
    <w:p w:rsidR="00E71691" w:rsidRPr="007A365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η πρόσληψη </w:t>
      </w:r>
      <w:r w:rsidR="00BA1ABA">
        <w:rPr>
          <w:rFonts w:ascii="Times New Roman" w:hAnsi="Times New Roman"/>
          <w:sz w:val="24"/>
          <w:szCs w:val="24"/>
        </w:rPr>
        <w:t xml:space="preserve">έκτακτου </w:t>
      </w:r>
      <w:r>
        <w:rPr>
          <w:rFonts w:ascii="Times New Roman" w:hAnsi="Times New Roman"/>
          <w:sz w:val="24"/>
          <w:szCs w:val="24"/>
        </w:rPr>
        <w:t>υγειονομικού προσωπικού με σχέση εργασίας ΙΔΟΧ</w:t>
      </w:r>
      <w:r w:rsidRPr="007A3650">
        <w:rPr>
          <w:rFonts w:ascii="Times New Roman" w:hAnsi="Times New Roman"/>
          <w:sz w:val="24"/>
          <w:szCs w:val="24"/>
        </w:rPr>
        <w:t>.</w:t>
      </w:r>
    </w:p>
    <w:p w:rsidR="00E71691" w:rsidRDefault="00E71691" w:rsidP="00E71691">
      <w:pPr>
        <w:ind w:left="284" w:hanging="284"/>
        <w:jc w:val="both"/>
        <w:rPr>
          <w:bCs/>
          <w:iCs/>
        </w:rPr>
      </w:pPr>
    </w:p>
    <w:p w:rsidR="00E71691" w:rsidRPr="00421535" w:rsidRDefault="00E71691" w:rsidP="00E71691">
      <w:pPr>
        <w:jc w:val="both"/>
        <w:rPr>
          <w:bCs/>
          <w:iCs/>
          <w:szCs w:val="22"/>
        </w:rPr>
      </w:pPr>
      <w:r w:rsidRPr="00421535">
        <w:rPr>
          <w:bCs/>
          <w:iCs/>
          <w:szCs w:val="22"/>
        </w:rPr>
        <w:t>Λοιπές</w:t>
      </w:r>
      <w:r>
        <w:rPr>
          <w:bCs/>
          <w:iCs/>
          <w:szCs w:val="22"/>
        </w:rPr>
        <w:t xml:space="preserve"> μεταβιβαστικές</w:t>
      </w:r>
      <w:r w:rsidRPr="00421535">
        <w:rPr>
          <w:bCs/>
          <w:iCs/>
          <w:szCs w:val="22"/>
        </w:rPr>
        <w:t xml:space="preserve"> δαπάνες (πλην </w:t>
      </w:r>
      <w:r w:rsidR="00BE23E9">
        <w:rPr>
          <w:bCs/>
          <w:iCs/>
          <w:szCs w:val="22"/>
        </w:rPr>
        <w:t>Covid-19</w:t>
      </w:r>
      <w:r w:rsidRPr="00421535">
        <w:rPr>
          <w:bCs/>
          <w:iCs/>
          <w:szCs w:val="22"/>
        </w:rPr>
        <w:t>)</w:t>
      </w:r>
      <w:r>
        <w:rPr>
          <w:bCs/>
          <w:iCs/>
          <w:szCs w:val="22"/>
        </w:rPr>
        <w:t>,</w:t>
      </w:r>
      <w:r w:rsidRPr="00421535">
        <w:rPr>
          <w:bCs/>
          <w:iCs/>
          <w:szCs w:val="22"/>
        </w:rPr>
        <w:t xml:space="preserve"> οι οποίες </w:t>
      </w:r>
      <w:r>
        <w:rPr>
          <w:bCs/>
          <w:iCs/>
          <w:szCs w:val="22"/>
        </w:rPr>
        <w:t>οδήγησαν σε</w:t>
      </w:r>
      <w:r w:rsidRPr="00421535">
        <w:rPr>
          <w:bCs/>
          <w:iCs/>
          <w:szCs w:val="22"/>
        </w:rPr>
        <w:t xml:space="preserve"> αύξηση </w:t>
      </w:r>
      <w:r w:rsidR="005C087C">
        <w:rPr>
          <w:bCs/>
          <w:iCs/>
          <w:szCs w:val="22"/>
        </w:rPr>
        <w:t xml:space="preserve">των μεταβιβάσεων </w:t>
      </w:r>
      <w:r w:rsidRPr="00421535">
        <w:rPr>
          <w:bCs/>
          <w:iCs/>
          <w:szCs w:val="22"/>
        </w:rPr>
        <w:t xml:space="preserve">σε σχέση με τον </w:t>
      </w:r>
      <w:r>
        <w:rPr>
          <w:bCs/>
          <w:iCs/>
          <w:szCs w:val="22"/>
        </w:rPr>
        <w:t xml:space="preserve">στόχο του </w:t>
      </w:r>
      <w:r w:rsidRPr="00421535">
        <w:rPr>
          <w:bCs/>
          <w:iCs/>
          <w:szCs w:val="22"/>
        </w:rPr>
        <w:t>προϋ</w:t>
      </w:r>
      <w:r>
        <w:rPr>
          <w:bCs/>
          <w:iCs/>
          <w:szCs w:val="22"/>
        </w:rPr>
        <w:t>πολογισμού</w:t>
      </w:r>
      <w:r w:rsidRPr="00421535">
        <w:rPr>
          <w:bCs/>
          <w:iCs/>
          <w:szCs w:val="22"/>
        </w:rPr>
        <w:t xml:space="preserve"> 2020 είναι οι εξής:</w:t>
      </w:r>
    </w:p>
    <w:p w:rsidR="00E71691" w:rsidRPr="00421535" w:rsidRDefault="00E71691" w:rsidP="00E71691">
      <w:pPr>
        <w:ind w:left="284" w:hanging="284"/>
        <w:jc w:val="both"/>
        <w:rPr>
          <w:bCs/>
          <w:iCs/>
        </w:rPr>
      </w:pPr>
      <w:r>
        <w:rPr>
          <w:bCs/>
          <w:iCs/>
        </w:rPr>
        <w:t xml:space="preserve"> </w:t>
      </w:r>
    </w:p>
    <w:p w:rsidR="00E71691" w:rsidRPr="0008486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w:t>
      </w:r>
      <w:r w:rsidRPr="00084860">
        <w:rPr>
          <w:rFonts w:ascii="Times New Roman" w:hAnsi="Times New Roman"/>
          <w:sz w:val="24"/>
          <w:szCs w:val="24"/>
        </w:rPr>
        <w:t xml:space="preserve"> αυ</w:t>
      </w:r>
      <w:r>
        <w:rPr>
          <w:rFonts w:ascii="Times New Roman" w:hAnsi="Times New Roman"/>
          <w:sz w:val="24"/>
          <w:szCs w:val="24"/>
        </w:rPr>
        <w:t>ξημένη επιχορήγηση στο</w:t>
      </w:r>
      <w:r w:rsidRPr="00084860">
        <w:rPr>
          <w:rFonts w:ascii="Times New Roman" w:hAnsi="Times New Roman"/>
          <w:sz w:val="24"/>
          <w:szCs w:val="24"/>
        </w:rPr>
        <w:t xml:space="preserve">ν </w:t>
      </w:r>
      <w:r w:rsidR="005C087C">
        <w:rPr>
          <w:rFonts w:ascii="Times New Roman" w:hAnsi="Times New Roman"/>
          <w:sz w:val="24"/>
          <w:szCs w:val="24"/>
          <w:lang w:val="en-US"/>
        </w:rPr>
        <w:t>e</w:t>
      </w:r>
      <w:r w:rsidR="005C087C" w:rsidRPr="005C087C">
        <w:rPr>
          <w:rFonts w:ascii="Times New Roman" w:hAnsi="Times New Roman"/>
          <w:sz w:val="24"/>
          <w:szCs w:val="24"/>
        </w:rPr>
        <w:t>-</w:t>
      </w:r>
      <w:r w:rsidRPr="00084860">
        <w:rPr>
          <w:rFonts w:ascii="Times New Roman" w:hAnsi="Times New Roman"/>
          <w:sz w:val="24"/>
          <w:szCs w:val="24"/>
        </w:rPr>
        <w:t>ΕΦΚΑ για την καταβολή αναδρομικών στους συνταξιούχους του δημοσίου και του ιδιωτικού τομέα, ύψους 1.400 εκατ. ευρώ</w:t>
      </w:r>
      <w:r w:rsidR="00E84072">
        <w:rPr>
          <w:rFonts w:ascii="Times New Roman" w:hAnsi="Times New Roman"/>
          <w:sz w:val="24"/>
          <w:szCs w:val="24"/>
        </w:rPr>
        <w:t xml:space="preserve"> </w:t>
      </w:r>
      <w:r w:rsidR="00E84072" w:rsidRPr="00084860">
        <w:rPr>
          <w:rFonts w:ascii="Times New Roman" w:hAnsi="Times New Roman"/>
          <w:sz w:val="24"/>
          <w:szCs w:val="24"/>
        </w:rPr>
        <w:t>περίπου</w:t>
      </w:r>
      <w:r w:rsidRPr="00084860">
        <w:rPr>
          <w:rFonts w:ascii="Times New Roman" w:hAnsi="Times New Roman"/>
          <w:sz w:val="24"/>
          <w:szCs w:val="24"/>
        </w:rPr>
        <w:t>,</w:t>
      </w:r>
      <w:r w:rsidR="00CB007C">
        <w:rPr>
          <w:rFonts w:ascii="Times New Roman" w:hAnsi="Times New Roman"/>
          <w:sz w:val="24"/>
          <w:szCs w:val="24"/>
        </w:rPr>
        <w:t xml:space="preserve"> </w:t>
      </w:r>
      <w:r w:rsidR="00767A50">
        <w:rPr>
          <w:rFonts w:ascii="Times New Roman" w:hAnsi="Times New Roman"/>
          <w:sz w:val="24"/>
          <w:szCs w:val="24"/>
        </w:rPr>
        <w:t xml:space="preserve">κατόπιν των σχετικών </w:t>
      </w:r>
      <w:r w:rsidR="00CB007C">
        <w:rPr>
          <w:rFonts w:ascii="Times New Roman" w:hAnsi="Times New Roman"/>
          <w:sz w:val="24"/>
          <w:szCs w:val="24"/>
        </w:rPr>
        <w:t>δικαστικών αποφάσεων</w:t>
      </w:r>
      <w:r w:rsidR="00BA1ABA">
        <w:rPr>
          <w:rFonts w:ascii="Times New Roman" w:hAnsi="Times New Roman"/>
          <w:sz w:val="24"/>
          <w:szCs w:val="24"/>
        </w:rPr>
        <w:t>,</w:t>
      </w:r>
    </w:p>
    <w:p w:rsidR="00E71691" w:rsidRPr="0008486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τ</w:t>
      </w:r>
      <w:r w:rsidRPr="00084860">
        <w:rPr>
          <w:rFonts w:ascii="Times New Roman" w:hAnsi="Times New Roman"/>
          <w:sz w:val="24"/>
          <w:szCs w:val="24"/>
        </w:rPr>
        <w:t xml:space="preserve">α βοηθήματα σε φυσικά πρόσωπα και επιχειρήσεις που </w:t>
      </w:r>
      <w:r w:rsidR="00363F4B">
        <w:rPr>
          <w:rFonts w:ascii="Times New Roman" w:hAnsi="Times New Roman"/>
          <w:sz w:val="24"/>
          <w:szCs w:val="24"/>
        </w:rPr>
        <w:t>επλήγη</w:t>
      </w:r>
      <w:r>
        <w:rPr>
          <w:rFonts w:ascii="Times New Roman" w:hAnsi="Times New Roman"/>
          <w:sz w:val="24"/>
          <w:szCs w:val="24"/>
        </w:rPr>
        <w:t>σ</w:t>
      </w:r>
      <w:r w:rsidRPr="00084860">
        <w:rPr>
          <w:rFonts w:ascii="Times New Roman" w:hAnsi="Times New Roman"/>
          <w:sz w:val="24"/>
          <w:szCs w:val="24"/>
        </w:rPr>
        <w:t>αν από τον</w:t>
      </w:r>
      <w:r>
        <w:rPr>
          <w:rFonts w:ascii="Times New Roman" w:hAnsi="Times New Roman"/>
          <w:sz w:val="24"/>
          <w:szCs w:val="24"/>
        </w:rPr>
        <w:t xml:space="preserve"> Μεσογειακό κυκλώνα «</w:t>
      </w:r>
      <w:r w:rsidR="00033BD0">
        <w:rPr>
          <w:rFonts w:ascii="Times New Roman" w:hAnsi="Times New Roman"/>
          <w:sz w:val="24"/>
          <w:szCs w:val="24"/>
        </w:rPr>
        <w:t>Ιανό</w:t>
      </w:r>
      <w:r>
        <w:rPr>
          <w:rFonts w:ascii="Times New Roman" w:hAnsi="Times New Roman"/>
          <w:sz w:val="24"/>
          <w:szCs w:val="24"/>
        </w:rPr>
        <w:t>»</w:t>
      </w:r>
      <w:r w:rsidR="005C087C">
        <w:rPr>
          <w:rFonts w:ascii="Times New Roman" w:hAnsi="Times New Roman"/>
          <w:sz w:val="24"/>
          <w:szCs w:val="24"/>
        </w:rPr>
        <w:t>,</w:t>
      </w:r>
      <w:r w:rsidRPr="00084860">
        <w:rPr>
          <w:rFonts w:ascii="Times New Roman" w:hAnsi="Times New Roman"/>
          <w:sz w:val="24"/>
          <w:szCs w:val="24"/>
        </w:rPr>
        <w:t xml:space="preserve"> ύψους 84 εκατ. ευρώ,</w:t>
      </w:r>
    </w:p>
    <w:p w:rsidR="00E71691"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τ</w:t>
      </w:r>
      <w:r w:rsidRPr="00084860">
        <w:rPr>
          <w:rFonts w:ascii="Times New Roman" w:hAnsi="Times New Roman"/>
          <w:sz w:val="24"/>
          <w:szCs w:val="24"/>
        </w:rPr>
        <w:t xml:space="preserve">ο πρόγραμμα εξόφλησης ληξιπρόθεσμων οφειλών των ΟΤΑ </w:t>
      </w:r>
      <w:r>
        <w:rPr>
          <w:rFonts w:ascii="Times New Roman" w:hAnsi="Times New Roman"/>
          <w:sz w:val="24"/>
          <w:szCs w:val="24"/>
        </w:rPr>
        <w:t>ύψους</w:t>
      </w:r>
      <w:r w:rsidRPr="00084860">
        <w:rPr>
          <w:rFonts w:ascii="Times New Roman" w:hAnsi="Times New Roman"/>
          <w:sz w:val="24"/>
          <w:szCs w:val="24"/>
        </w:rPr>
        <w:t xml:space="preserve"> περίπου 116 εκατ. ευρώ</w:t>
      </w:r>
      <w:r>
        <w:rPr>
          <w:rFonts w:ascii="Times New Roman" w:hAnsi="Times New Roman"/>
          <w:sz w:val="24"/>
          <w:szCs w:val="24"/>
        </w:rPr>
        <w:t xml:space="preserve"> και η </w:t>
      </w:r>
      <w:r w:rsidR="00042B29">
        <w:rPr>
          <w:rFonts w:ascii="Times New Roman" w:hAnsi="Times New Roman"/>
          <w:sz w:val="24"/>
          <w:szCs w:val="24"/>
        </w:rPr>
        <w:t xml:space="preserve">έκτακτη </w:t>
      </w:r>
      <w:r>
        <w:rPr>
          <w:rFonts w:ascii="Times New Roman" w:hAnsi="Times New Roman"/>
          <w:sz w:val="24"/>
          <w:szCs w:val="24"/>
        </w:rPr>
        <w:t>επιχορήγησή τους κατά 95 εκατ. ευρώ</w:t>
      </w:r>
      <w:r w:rsidR="00042B29">
        <w:rPr>
          <w:rFonts w:ascii="Times New Roman" w:hAnsi="Times New Roman"/>
          <w:sz w:val="24"/>
          <w:szCs w:val="24"/>
        </w:rPr>
        <w:t xml:space="preserve"> λόγω </w:t>
      </w:r>
      <w:r w:rsidR="009E1C94">
        <w:rPr>
          <w:rFonts w:ascii="Times New Roman" w:hAnsi="Times New Roman"/>
          <w:sz w:val="24"/>
          <w:szCs w:val="24"/>
        </w:rPr>
        <w:t>μειωμένων εσόδων</w:t>
      </w:r>
      <w:r>
        <w:rPr>
          <w:rFonts w:ascii="Times New Roman" w:hAnsi="Times New Roman"/>
          <w:sz w:val="24"/>
          <w:szCs w:val="24"/>
        </w:rPr>
        <w:t>,</w:t>
      </w:r>
    </w:p>
    <w:p w:rsidR="00E71691" w:rsidRPr="00084860"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η αυξημένη επιχορήγηση προς τον ΕΟΠΥΥ κατά 330 εκατ. ευρώ και</w:t>
      </w:r>
    </w:p>
    <w:p w:rsidR="00E71691" w:rsidRDefault="005C087C"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λοιπές μεταβιβαστικές δαπάνες που καλύφθηκαν με μεταφορά πιστώσεων </w:t>
      </w:r>
      <w:r w:rsidR="00E71691" w:rsidRPr="00084860">
        <w:rPr>
          <w:rFonts w:ascii="Times New Roman" w:hAnsi="Times New Roman"/>
          <w:sz w:val="24"/>
          <w:szCs w:val="24"/>
        </w:rPr>
        <w:t xml:space="preserve">από το τακτικό και το ειδικό αποθεματικό </w:t>
      </w:r>
      <w:r>
        <w:rPr>
          <w:rFonts w:ascii="Times New Roman" w:hAnsi="Times New Roman"/>
          <w:sz w:val="24"/>
          <w:szCs w:val="24"/>
        </w:rPr>
        <w:t>ύψους</w:t>
      </w:r>
      <w:r w:rsidR="00E71691" w:rsidRPr="00084860">
        <w:rPr>
          <w:rFonts w:ascii="Times New Roman" w:hAnsi="Times New Roman"/>
          <w:sz w:val="24"/>
          <w:szCs w:val="24"/>
        </w:rPr>
        <w:t xml:space="preserve"> 273 και 51 εκατ. ευρώ αντίστοιχα</w:t>
      </w:r>
      <w:r w:rsidR="00E71691">
        <w:rPr>
          <w:rFonts w:ascii="Times New Roman" w:hAnsi="Times New Roman"/>
          <w:sz w:val="24"/>
          <w:szCs w:val="24"/>
        </w:rPr>
        <w:t>.</w:t>
      </w:r>
    </w:p>
    <w:p w:rsidR="00E71691" w:rsidRPr="00E142EC" w:rsidRDefault="00E71691" w:rsidP="00E71691">
      <w:pPr>
        <w:jc w:val="both"/>
        <w:rPr>
          <w:bCs/>
          <w:iCs/>
        </w:rPr>
      </w:pPr>
    </w:p>
    <w:p w:rsidR="00E71691" w:rsidRPr="00AE2DD7" w:rsidRDefault="00E71691" w:rsidP="008100EB">
      <w:pPr>
        <w:pStyle w:val="ListParagraph"/>
        <w:ind w:left="0"/>
        <w:jc w:val="both"/>
        <w:rPr>
          <w:rFonts w:ascii="Arial Narrow" w:hAnsi="Arial Narrow"/>
          <w:b/>
          <w:bCs/>
          <w:iCs/>
          <w:lang w:bidi="en-US"/>
        </w:rPr>
      </w:pPr>
      <w:r w:rsidRPr="00AE2DD7">
        <w:rPr>
          <w:rFonts w:ascii="Arial Narrow" w:hAnsi="Arial Narrow"/>
          <w:b/>
          <w:bCs/>
          <w:iCs/>
          <w:lang w:bidi="en-US"/>
        </w:rPr>
        <w:t>Αγορές αγαθών και υπηρεσιών</w:t>
      </w:r>
    </w:p>
    <w:p w:rsidR="00E71691" w:rsidRDefault="00E71691" w:rsidP="00E71691">
      <w:pPr>
        <w:jc w:val="both"/>
        <w:rPr>
          <w:bCs/>
          <w:iCs/>
          <w:szCs w:val="22"/>
        </w:rPr>
      </w:pPr>
      <w:r w:rsidRPr="00C860C1">
        <w:rPr>
          <w:bCs/>
          <w:iCs/>
          <w:szCs w:val="22"/>
        </w:rPr>
        <w:t xml:space="preserve">Στην κατηγορία αυτή περιλαμβάνονται </w:t>
      </w:r>
      <w:r w:rsidRPr="0013008F">
        <w:rPr>
          <w:bCs/>
          <w:iCs/>
          <w:szCs w:val="22"/>
        </w:rPr>
        <w:t>δαπάνες καταναλωτικού χαρακτήρα. Οι σχετικές δαπάνες για το έτος 2020 εκτιμάται ότι θα ανέλθουν στα 1.564 εκατ. ευρώ</w:t>
      </w:r>
      <w:r w:rsidR="005C087C">
        <w:rPr>
          <w:bCs/>
          <w:iCs/>
          <w:szCs w:val="22"/>
        </w:rPr>
        <w:t>, αυξημένες κατά 596 εκατ. ευρώ</w:t>
      </w:r>
      <w:r w:rsidRPr="0013008F">
        <w:rPr>
          <w:bCs/>
          <w:iCs/>
          <w:szCs w:val="22"/>
        </w:rPr>
        <w:t xml:space="preserve"> έναντι του στόχου, </w:t>
      </w:r>
      <w:r w:rsidR="00660A03">
        <w:rPr>
          <w:bCs/>
          <w:iCs/>
          <w:szCs w:val="22"/>
        </w:rPr>
        <w:t>κυρίως λόγω:</w:t>
      </w:r>
    </w:p>
    <w:p w:rsidR="00660A03" w:rsidRDefault="00660A03" w:rsidP="00E71691">
      <w:pPr>
        <w:jc w:val="both"/>
        <w:rPr>
          <w:bCs/>
          <w:iCs/>
          <w:szCs w:val="22"/>
        </w:rPr>
      </w:pPr>
    </w:p>
    <w:p w:rsidR="00E71691" w:rsidRPr="007B3365"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7B3365">
        <w:rPr>
          <w:rFonts w:ascii="Times New Roman" w:hAnsi="Times New Roman"/>
          <w:sz w:val="24"/>
          <w:szCs w:val="24"/>
        </w:rPr>
        <w:t xml:space="preserve">της ενίσχυσης της κατηγορίας αυτής </w:t>
      </w:r>
      <w:r w:rsidR="005C087C" w:rsidRPr="007B3365">
        <w:rPr>
          <w:rFonts w:ascii="Times New Roman" w:hAnsi="Times New Roman"/>
          <w:sz w:val="24"/>
          <w:szCs w:val="24"/>
        </w:rPr>
        <w:t xml:space="preserve">(παρ. 1 και 8 του </w:t>
      </w:r>
      <w:r w:rsidR="00CB007C">
        <w:rPr>
          <w:rFonts w:ascii="Times New Roman" w:hAnsi="Times New Roman"/>
          <w:sz w:val="24"/>
          <w:szCs w:val="24"/>
        </w:rPr>
        <w:t xml:space="preserve">άρθρου 59 του </w:t>
      </w:r>
      <w:r w:rsidR="005C087C" w:rsidRPr="007B3365">
        <w:rPr>
          <w:rFonts w:ascii="Times New Roman" w:hAnsi="Times New Roman"/>
          <w:sz w:val="24"/>
          <w:szCs w:val="24"/>
        </w:rPr>
        <w:t>ν.4270/2014 αντίστοιχα)</w:t>
      </w:r>
      <w:r w:rsidR="005C087C">
        <w:rPr>
          <w:rFonts w:ascii="Times New Roman" w:hAnsi="Times New Roman"/>
          <w:sz w:val="24"/>
          <w:szCs w:val="24"/>
        </w:rPr>
        <w:t xml:space="preserve"> </w:t>
      </w:r>
      <w:r w:rsidRPr="007B3365">
        <w:rPr>
          <w:rFonts w:ascii="Times New Roman" w:hAnsi="Times New Roman"/>
          <w:sz w:val="24"/>
          <w:szCs w:val="24"/>
        </w:rPr>
        <w:t xml:space="preserve">με πιστώσεις τόσο από το τακτικό όσο και από το ειδικό αποθεματικό ύψους 230 εκατ. ευρώ, για την ενίσχυση των λειτουργικών δαπανών των υπουργείων, </w:t>
      </w:r>
    </w:p>
    <w:p w:rsidR="00E71691" w:rsidRPr="007B3365"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7B3365">
        <w:rPr>
          <w:rFonts w:ascii="Times New Roman" w:hAnsi="Times New Roman"/>
          <w:sz w:val="24"/>
          <w:szCs w:val="24"/>
        </w:rPr>
        <w:t xml:space="preserve">της ενίσχυσης από τις λοιπές υπό κατανομή πιστώσεις για την αντιμετώπιση των μη προβλέψιμων μεταναστευτικών ροών ύψους 145 εκατ. ευρώ και </w:t>
      </w:r>
    </w:p>
    <w:p w:rsidR="00E71691" w:rsidRPr="007B3365"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7B3365">
        <w:rPr>
          <w:rFonts w:ascii="Times New Roman" w:hAnsi="Times New Roman"/>
          <w:sz w:val="24"/>
          <w:szCs w:val="24"/>
        </w:rPr>
        <w:t>του επιπλέον κόστους των λειτουργικών δαπανών των υπουργείων λόγω της πανδημίας  ύψους 190 εκατ. ευρώ.</w:t>
      </w:r>
    </w:p>
    <w:p w:rsidR="00E71691" w:rsidRPr="0013008F" w:rsidRDefault="00E71691" w:rsidP="00E71691">
      <w:pPr>
        <w:jc w:val="both"/>
        <w:rPr>
          <w:bCs/>
          <w:iCs/>
          <w:szCs w:val="22"/>
        </w:rPr>
      </w:pPr>
    </w:p>
    <w:p w:rsidR="00E71691" w:rsidRPr="0013008F" w:rsidRDefault="00E71691" w:rsidP="008100EB">
      <w:pPr>
        <w:jc w:val="both"/>
        <w:rPr>
          <w:rFonts w:ascii="Arial Narrow" w:hAnsi="Arial Narrow"/>
          <w:b/>
          <w:bCs/>
          <w:iCs/>
          <w:sz w:val="22"/>
          <w:szCs w:val="22"/>
          <w:lang w:bidi="en-US"/>
        </w:rPr>
      </w:pPr>
      <w:r w:rsidRPr="0013008F">
        <w:rPr>
          <w:rFonts w:ascii="Arial Narrow" w:hAnsi="Arial Narrow"/>
          <w:b/>
          <w:bCs/>
          <w:iCs/>
          <w:sz w:val="22"/>
          <w:szCs w:val="22"/>
          <w:lang w:bidi="en-US"/>
        </w:rPr>
        <w:t>Επιδοτήσεις</w:t>
      </w:r>
    </w:p>
    <w:p w:rsidR="00E71691" w:rsidRPr="0013008F" w:rsidRDefault="00E71691" w:rsidP="00E71691">
      <w:pPr>
        <w:jc w:val="both"/>
        <w:rPr>
          <w:bCs/>
          <w:iCs/>
          <w:szCs w:val="22"/>
        </w:rPr>
      </w:pPr>
    </w:p>
    <w:p w:rsidR="00E71691" w:rsidRDefault="00E71691" w:rsidP="00E71691">
      <w:pPr>
        <w:jc w:val="both"/>
        <w:rPr>
          <w:bCs/>
          <w:iCs/>
          <w:szCs w:val="22"/>
        </w:rPr>
      </w:pPr>
      <w:r w:rsidRPr="0013008F">
        <w:rPr>
          <w:bCs/>
          <w:iCs/>
          <w:szCs w:val="22"/>
        </w:rPr>
        <w:t xml:space="preserve">Στην κατηγορία αυτή περιλαμβάνονται κυρίως οι επιδοτήσεις </w:t>
      </w:r>
      <w:r w:rsidR="005C087C">
        <w:rPr>
          <w:bCs/>
          <w:iCs/>
          <w:szCs w:val="22"/>
        </w:rPr>
        <w:t xml:space="preserve">στα ΕΛΤΑ </w:t>
      </w:r>
      <w:r w:rsidRPr="0013008F">
        <w:rPr>
          <w:bCs/>
          <w:iCs/>
          <w:szCs w:val="22"/>
        </w:rPr>
        <w:t xml:space="preserve">για την καθολική ταχυδρομική υπηρεσία, καθώς και </w:t>
      </w:r>
      <w:r w:rsidR="005C087C">
        <w:rPr>
          <w:bCs/>
          <w:iCs/>
          <w:szCs w:val="22"/>
        </w:rPr>
        <w:t>σ</w:t>
      </w:r>
      <w:r w:rsidRPr="0013008F">
        <w:rPr>
          <w:bCs/>
          <w:iCs/>
          <w:szCs w:val="22"/>
        </w:rPr>
        <w:t xml:space="preserve">την ΤΡΑΙΝΟΣΕ. </w:t>
      </w:r>
    </w:p>
    <w:p w:rsidR="00550EA0" w:rsidRPr="0013008F" w:rsidRDefault="00550EA0" w:rsidP="00E71691">
      <w:pPr>
        <w:jc w:val="both"/>
        <w:rPr>
          <w:bCs/>
          <w:iCs/>
          <w:szCs w:val="22"/>
        </w:rPr>
      </w:pPr>
    </w:p>
    <w:p w:rsidR="00E71691" w:rsidRPr="00BD7220" w:rsidRDefault="00E71691" w:rsidP="00E71691">
      <w:pPr>
        <w:jc w:val="both"/>
        <w:rPr>
          <w:bCs/>
          <w:iCs/>
          <w:szCs w:val="22"/>
        </w:rPr>
      </w:pPr>
      <w:r w:rsidRPr="0013008F">
        <w:rPr>
          <w:bCs/>
          <w:iCs/>
          <w:szCs w:val="22"/>
        </w:rPr>
        <w:lastRenderedPageBreak/>
        <w:t>Η συνολική εκτίμηση για αυτή την κατηγορία ανέρχεται σε 102 εκατ. ευρώ, αυξημένη κατά 12 εκατ. ευρώ έναντι του στόχου</w:t>
      </w:r>
      <w:r w:rsidRPr="0013008F">
        <w:rPr>
          <w:bCs/>
          <w:i/>
          <w:iCs/>
          <w:szCs w:val="22"/>
        </w:rPr>
        <w:t>.</w:t>
      </w:r>
    </w:p>
    <w:p w:rsidR="00C55B6E" w:rsidRDefault="00C55B6E" w:rsidP="00E71691">
      <w:pPr>
        <w:jc w:val="both"/>
        <w:rPr>
          <w:bCs/>
          <w:iCs/>
          <w:szCs w:val="22"/>
        </w:rPr>
      </w:pPr>
    </w:p>
    <w:p w:rsidR="00E71691" w:rsidRPr="00B3414B" w:rsidRDefault="00E71691" w:rsidP="008100EB">
      <w:pPr>
        <w:jc w:val="both"/>
        <w:rPr>
          <w:rFonts w:ascii="Arial Narrow" w:hAnsi="Arial Narrow"/>
          <w:b/>
          <w:bCs/>
          <w:iCs/>
          <w:sz w:val="22"/>
          <w:szCs w:val="22"/>
          <w:lang w:bidi="en-US"/>
        </w:rPr>
      </w:pPr>
      <w:r w:rsidRPr="00B3414B">
        <w:rPr>
          <w:rFonts w:ascii="Arial Narrow" w:hAnsi="Arial Narrow"/>
          <w:b/>
          <w:bCs/>
          <w:iCs/>
          <w:sz w:val="22"/>
          <w:szCs w:val="22"/>
          <w:lang w:bidi="en-US"/>
        </w:rPr>
        <w:t>Τόκοι</w:t>
      </w:r>
      <w:r>
        <w:rPr>
          <w:rFonts w:ascii="Arial Narrow" w:hAnsi="Arial Narrow"/>
          <w:b/>
          <w:bCs/>
          <w:iCs/>
          <w:sz w:val="22"/>
          <w:szCs w:val="22"/>
          <w:lang w:bidi="en-US"/>
        </w:rPr>
        <w:t xml:space="preserve"> (σε ακαθάριστη βάση)</w:t>
      </w:r>
    </w:p>
    <w:p w:rsidR="00E71691" w:rsidRDefault="00E71691" w:rsidP="00E71691">
      <w:pPr>
        <w:jc w:val="both"/>
        <w:rPr>
          <w:bCs/>
          <w:iCs/>
          <w:szCs w:val="22"/>
        </w:rPr>
      </w:pPr>
    </w:p>
    <w:p w:rsidR="00E71691" w:rsidRPr="000B29C7" w:rsidRDefault="00E71691" w:rsidP="00E71691">
      <w:pPr>
        <w:jc w:val="both"/>
        <w:rPr>
          <w:bCs/>
          <w:iCs/>
          <w:szCs w:val="22"/>
        </w:rPr>
      </w:pPr>
      <w:r w:rsidRPr="005352B5">
        <w:rPr>
          <w:bCs/>
          <w:iCs/>
          <w:szCs w:val="22"/>
        </w:rPr>
        <w:t xml:space="preserve">Η </w:t>
      </w:r>
      <w:r w:rsidRPr="000B29C7">
        <w:rPr>
          <w:bCs/>
          <w:iCs/>
          <w:szCs w:val="22"/>
        </w:rPr>
        <w:t>εκτίμηση για τις</w:t>
      </w:r>
      <w:r w:rsidRPr="000B29C7">
        <w:rPr>
          <w:bCs/>
          <w:i/>
          <w:iCs/>
          <w:szCs w:val="22"/>
        </w:rPr>
        <w:t xml:space="preserve"> </w:t>
      </w:r>
      <w:r w:rsidRPr="000B29C7">
        <w:rPr>
          <w:bCs/>
          <w:iCs/>
          <w:szCs w:val="22"/>
        </w:rPr>
        <w:t xml:space="preserve">δαπάνες τόκων σε ακαθάριστη δημοσιονομική βάση, ανέρχεται σε 5.850 εκατ. ευρώ, μειωμένη κατά 150 εκατ. ευρώ έναντι του </w:t>
      </w:r>
      <w:r w:rsidR="00CB007C">
        <w:rPr>
          <w:bCs/>
          <w:iCs/>
          <w:szCs w:val="22"/>
        </w:rPr>
        <w:t xml:space="preserve">αρχικού </w:t>
      </w:r>
      <w:r w:rsidRPr="000B29C7">
        <w:rPr>
          <w:bCs/>
          <w:iCs/>
          <w:szCs w:val="22"/>
        </w:rPr>
        <w:t>στόχου.</w:t>
      </w:r>
    </w:p>
    <w:p w:rsidR="00E71691" w:rsidRPr="000B29C7" w:rsidRDefault="00E71691" w:rsidP="00E71691">
      <w:pPr>
        <w:jc w:val="both"/>
        <w:rPr>
          <w:bCs/>
          <w:i/>
          <w:iCs/>
          <w:szCs w:val="22"/>
        </w:rPr>
      </w:pPr>
    </w:p>
    <w:p w:rsidR="00E71691" w:rsidRPr="000B29C7" w:rsidRDefault="00755797" w:rsidP="008100EB">
      <w:pPr>
        <w:jc w:val="both"/>
        <w:rPr>
          <w:rFonts w:ascii="Arial Narrow" w:hAnsi="Arial Narrow"/>
          <w:b/>
          <w:bCs/>
          <w:iCs/>
          <w:sz w:val="22"/>
          <w:szCs w:val="22"/>
          <w:lang w:bidi="en-US"/>
        </w:rPr>
      </w:pPr>
      <w:r>
        <w:rPr>
          <w:rFonts w:ascii="Arial Narrow" w:hAnsi="Arial Narrow"/>
          <w:b/>
          <w:bCs/>
          <w:iCs/>
          <w:sz w:val="22"/>
          <w:szCs w:val="22"/>
          <w:lang w:bidi="en-US"/>
        </w:rPr>
        <w:t>Λοιπές δ</w:t>
      </w:r>
      <w:r w:rsidR="00E71691" w:rsidRPr="000B29C7">
        <w:rPr>
          <w:rFonts w:ascii="Arial Narrow" w:hAnsi="Arial Narrow"/>
          <w:b/>
          <w:bCs/>
          <w:iCs/>
          <w:sz w:val="22"/>
          <w:szCs w:val="22"/>
          <w:lang w:bidi="en-US"/>
        </w:rPr>
        <w:t>απάνες</w:t>
      </w:r>
    </w:p>
    <w:p w:rsidR="00E71691" w:rsidRPr="000B29C7" w:rsidRDefault="00E71691" w:rsidP="00E71691">
      <w:pPr>
        <w:jc w:val="both"/>
        <w:rPr>
          <w:bCs/>
          <w:iCs/>
          <w:szCs w:val="22"/>
        </w:rPr>
      </w:pPr>
    </w:p>
    <w:p w:rsidR="00550EA0" w:rsidRDefault="00E71691" w:rsidP="00E71691">
      <w:pPr>
        <w:jc w:val="both"/>
        <w:rPr>
          <w:bCs/>
          <w:iCs/>
          <w:szCs w:val="22"/>
        </w:rPr>
      </w:pPr>
      <w:r w:rsidRPr="000B29C7">
        <w:rPr>
          <w:bCs/>
          <w:iCs/>
          <w:szCs w:val="22"/>
        </w:rPr>
        <w:t>Οι λοιπές δαπάνες περιλαμβάνουν κυρίως τη δαπάνη για τις επιστροφές στην ΕΕ από ανεκτέλεστα προγράμματα, καθώς και τη δαπάνη για τα πρόστιμα προς την ΕΕ.</w:t>
      </w:r>
    </w:p>
    <w:p w:rsidR="00E71691" w:rsidRPr="000B29C7" w:rsidRDefault="00E71691" w:rsidP="00E71691">
      <w:pPr>
        <w:jc w:val="both"/>
        <w:rPr>
          <w:bCs/>
          <w:iCs/>
          <w:szCs w:val="22"/>
        </w:rPr>
      </w:pPr>
      <w:r w:rsidRPr="000B29C7">
        <w:rPr>
          <w:bCs/>
          <w:iCs/>
          <w:szCs w:val="22"/>
        </w:rPr>
        <w:t xml:space="preserve"> </w:t>
      </w:r>
    </w:p>
    <w:p w:rsidR="00E71691" w:rsidRDefault="00E71691" w:rsidP="00E71691">
      <w:pPr>
        <w:jc w:val="both"/>
        <w:rPr>
          <w:bCs/>
          <w:iCs/>
          <w:szCs w:val="22"/>
        </w:rPr>
      </w:pPr>
      <w:r w:rsidRPr="000B29C7">
        <w:rPr>
          <w:bCs/>
          <w:iCs/>
          <w:szCs w:val="22"/>
        </w:rPr>
        <w:t>Η εκτιμώμενη δαπάνη ανέρχεται σε 72 εκατ</w:t>
      </w:r>
      <w:r>
        <w:rPr>
          <w:bCs/>
          <w:iCs/>
          <w:szCs w:val="22"/>
        </w:rPr>
        <w:t xml:space="preserve">. ευρώ </w:t>
      </w:r>
      <w:r w:rsidR="00C55B6E">
        <w:rPr>
          <w:bCs/>
          <w:iCs/>
          <w:szCs w:val="22"/>
        </w:rPr>
        <w:t xml:space="preserve">χωρίς σημαντική απόκλιση από τον </w:t>
      </w:r>
      <w:r>
        <w:rPr>
          <w:bCs/>
          <w:iCs/>
          <w:szCs w:val="22"/>
        </w:rPr>
        <w:t>στόχο.</w:t>
      </w:r>
    </w:p>
    <w:p w:rsidR="00E71691" w:rsidRDefault="00E71691" w:rsidP="00E71691">
      <w:pPr>
        <w:jc w:val="both"/>
        <w:rPr>
          <w:bCs/>
          <w:iCs/>
          <w:szCs w:val="22"/>
        </w:rPr>
      </w:pPr>
    </w:p>
    <w:p w:rsidR="00E71691" w:rsidRPr="00B3414B" w:rsidRDefault="00E71691" w:rsidP="008100EB">
      <w:pPr>
        <w:jc w:val="both"/>
        <w:rPr>
          <w:rFonts w:ascii="Arial Narrow" w:hAnsi="Arial Narrow"/>
          <w:b/>
          <w:bCs/>
          <w:iCs/>
          <w:sz w:val="22"/>
          <w:szCs w:val="22"/>
          <w:lang w:bidi="en-US"/>
        </w:rPr>
      </w:pPr>
      <w:r w:rsidRPr="00B3414B">
        <w:rPr>
          <w:rFonts w:ascii="Arial Narrow" w:hAnsi="Arial Narrow"/>
          <w:b/>
          <w:bCs/>
          <w:iCs/>
          <w:sz w:val="22"/>
          <w:szCs w:val="22"/>
          <w:lang w:bidi="en-US"/>
        </w:rPr>
        <w:t>Πιστώσεις υπό κατανομή</w:t>
      </w:r>
    </w:p>
    <w:p w:rsidR="00E71691" w:rsidRDefault="00E71691" w:rsidP="00E71691">
      <w:pPr>
        <w:jc w:val="both"/>
        <w:rPr>
          <w:bCs/>
          <w:iCs/>
          <w:szCs w:val="22"/>
        </w:rPr>
      </w:pPr>
    </w:p>
    <w:p w:rsidR="00E71691" w:rsidRDefault="00E71691" w:rsidP="00E71691">
      <w:pPr>
        <w:jc w:val="both"/>
        <w:rPr>
          <w:bCs/>
          <w:iCs/>
          <w:szCs w:val="22"/>
        </w:rPr>
      </w:pPr>
      <w:r w:rsidRPr="005352B5">
        <w:rPr>
          <w:bCs/>
          <w:iCs/>
          <w:szCs w:val="22"/>
        </w:rPr>
        <w:t>Στην κατηγορία αυτή περιλαμβάνονται κυρίως οι δαπάνες του ΠΔΕ και το τακτικό</w:t>
      </w:r>
      <w:r>
        <w:rPr>
          <w:bCs/>
          <w:iCs/>
          <w:szCs w:val="22"/>
        </w:rPr>
        <w:t xml:space="preserve"> και ειδικό</w:t>
      </w:r>
      <w:r w:rsidRPr="005352B5">
        <w:rPr>
          <w:bCs/>
          <w:iCs/>
          <w:szCs w:val="22"/>
        </w:rPr>
        <w:t xml:space="preserve"> αποθεμα</w:t>
      </w:r>
      <w:r>
        <w:rPr>
          <w:bCs/>
          <w:iCs/>
          <w:szCs w:val="22"/>
        </w:rPr>
        <w:t xml:space="preserve">τικό. </w:t>
      </w:r>
    </w:p>
    <w:p w:rsidR="00550EA0" w:rsidRDefault="00550EA0" w:rsidP="00E71691">
      <w:pPr>
        <w:jc w:val="both"/>
        <w:rPr>
          <w:bCs/>
          <w:iCs/>
          <w:szCs w:val="22"/>
        </w:rPr>
      </w:pPr>
    </w:p>
    <w:p w:rsidR="00E71691" w:rsidRPr="0013008F" w:rsidRDefault="00E71691" w:rsidP="00E71691">
      <w:pPr>
        <w:jc w:val="both"/>
        <w:rPr>
          <w:bCs/>
          <w:iCs/>
          <w:szCs w:val="22"/>
        </w:rPr>
      </w:pPr>
      <w:r w:rsidRPr="0013008F">
        <w:rPr>
          <w:bCs/>
          <w:iCs/>
          <w:szCs w:val="22"/>
        </w:rPr>
        <w:t>Οι συνολικές δαπάνες για την κατηγορία αυτή εκτιμώνται σε 10.068 εκατ. ευρώ,</w:t>
      </w:r>
      <w:r>
        <w:rPr>
          <w:bCs/>
          <w:iCs/>
          <w:szCs w:val="22"/>
        </w:rPr>
        <w:t xml:space="preserve"> αυξημένες</w:t>
      </w:r>
      <w:r w:rsidRPr="0013008F">
        <w:rPr>
          <w:bCs/>
          <w:iCs/>
          <w:szCs w:val="22"/>
        </w:rPr>
        <w:t xml:space="preserve"> έναντι του στόχου</w:t>
      </w:r>
      <w:r>
        <w:rPr>
          <w:bCs/>
          <w:iCs/>
          <w:szCs w:val="22"/>
        </w:rPr>
        <w:t xml:space="preserve"> κατά 1.823 εκατ. ευρώ,</w:t>
      </w:r>
      <w:r w:rsidRPr="0013008F">
        <w:rPr>
          <w:bCs/>
          <w:iCs/>
          <w:szCs w:val="22"/>
        </w:rPr>
        <w:t xml:space="preserve"> γεγονός που οφείλεται κυρίως στις εκτιμώμενες αυξημένες πληρωμές του ΠΔΕ κατά 2.771 εκατ. ευρώ σε σχέση με τον στόχο (9.521 εκατ. ευρώ έναντι 6.750 εκατ. ευρώ), λόγω της αντιμετώπισης της πανδημίας με τα εξής μέτρα:</w:t>
      </w:r>
    </w:p>
    <w:p w:rsidR="00E71691" w:rsidRPr="0013008F" w:rsidRDefault="00E71691" w:rsidP="00E71691">
      <w:pPr>
        <w:jc w:val="both"/>
        <w:rPr>
          <w:bCs/>
          <w:iCs/>
          <w:szCs w:val="22"/>
        </w:rPr>
      </w:pPr>
    </w:p>
    <w:p w:rsidR="00E71691" w:rsidRPr="00531B4F" w:rsidRDefault="0091077E"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color w:val="000000"/>
          <w:sz w:val="24"/>
          <w:szCs w:val="24"/>
        </w:rPr>
        <w:t>η αποζημίωση ειδ</w:t>
      </w:r>
      <w:r w:rsidR="00767A50">
        <w:rPr>
          <w:rFonts w:ascii="Times New Roman" w:hAnsi="Times New Roman"/>
          <w:color w:val="000000"/>
          <w:sz w:val="24"/>
          <w:szCs w:val="24"/>
        </w:rPr>
        <w:t>ι</w:t>
      </w:r>
      <w:r>
        <w:rPr>
          <w:rFonts w:ascii="Times New Roman" w:hAnsi="Times New Roman"/>
          <w:color w:val="000000"/>
          <w:sz w:val="24"/>
          <w:szCs w:val="24"/>
        </w:rPr>
        <w:t>κού σκοπού</w:t>
      </w:r>
      <w:r w:rsidR="00E71691" w:rsidRPr="0013008F">
        <w:rPr>
          <w:rFonts w:ascii="Times New Roman" w:hAnsi="Times New Roman"/>
          <w:sz w:val="24"/>
          <w:szCs w:val="24"/>
        </w:rPr>
        <w:t xml:space="preserve"> 534 ευρώ για αυτοαπασχολούμενους</w:t>
      </w:r>
      <w:r w:rsidR="00030228">
        <w:rPr>
          <w:rFonts w:ascii="Times New Roman" w:hAnsi="Times New Roman"/>
          <w:sz w:val="24"/>
          <w:szCs w:val="24"/>
        </w:rPr>
        <w:t>,</w:t>
      </w:r>
      <w:r w:rsidR="00E71691" w:rsidRPr="0013008F">
        <w:rPr>
          <w:rFonts w:ascii="Times New Roman" w:hAnsi="Times New Roman"/>
          <w:sz w:val="24"/>
          <w:szCs w:val="24"/>
        </w:rPr>
        <w:t xml:space="preserve"> ελεύθερους επαγγελματίες </w:t>
      </w:r>
      <w:r w:rsidR="00030228">
        <w:rPr>
          <w:rFonts w:ascii="Times New Roman" w:hAnsi="Times New Roman"/>
          <w:sz w:val="24"/>
          <w:szCs w:val="24"/>
        </w:rPr>
        <w:t xml:space="preserve">και </w:t>
      </w:r>
      <w:r w:rsidR="00030228" w:rsidRPr="007A0F25">
        <w:rPr>
          <w:rFonts w:ascii="Times New Roman" w:hAnsi="Times New Roman"/>
          <w:sz w:val="24"/>
          <w:szCs w:val="24"/>
        </w:rPr>
        <w:t xml:space="preserve">εργοδότες (με έως και 20 υπαλλήλους) </w:t>
      </w:r>
      <w:r w:rsidR="00E71691" w:rsidRPr="00531B4F">
        <w:rPr>
          <w:rFonts w:ascii="Times New Roman" w:hAnsi="Times New Roman"/>
          <w:sz w:val="24"/>
          <w:szCs w:val="24"/>
        </w:rPr>
        <w:t>που επλήγησαν</w:t>
      </w:r>
      <w:r w:rsidR="00E71691" w:rsidRPr="0013008F">
        <w:rPr>
          <w:rFonts w:ascii="Times New Roman" w:hAnsi="Times New Roman"/>
          <w:sz w:val="24"/>
          <w:szCs w:val="24"/>
        </w:rPr>
        <w:t xml:space="preserve"> από την κρίση του C</w:t>
      </w:r>
      <w:proofErr w:type="spellStart"/>
      <w:r w:rsidR="002C09BC">
        <w:rPr>
          <w:rFonts w:ascii="Times New Roman" w:hAnsi="Times New Roman"/>
          <w:sz w:val="24"/>
          <w:szCs w:val="24"/>
          <w:lang w:val="en-US"/>
        </w:rPr>
        <w:t>ovid</w:t>
      </w:r>
      <w:proofErr w:type="spellEnd"/>
      <w:r w:rsidR="00E84072">
        <w:rPr>
          <w:rFonts w:ascii="Times New Roman" w:hAnsi="Times New Roman"/>
          <w:sz w:val="24"/>
          <w:szCs w:val="24"/>
        </w:rPr>
        <w:t>-19</w:t>
      </w:r>
      <w:r w:rsidR="00E71691">
        <w:rPr>
          <w:rFonts w:ascii="Times New Roman" w:hAnsi="Times New Roman"/>
          <w:sz w:val="24"/>
          <w:szCs w:val="24"/>
        </w:rPr>
        <w:t>,</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t>μέρος της επιστρεπτέας προκαταβολής (</w:t>
      </w:r>
      <w:r w:rsidR="00E84072">
        <w:rPr>
          <w:rFonts w:ascii="Times New Roman" w:hAnsi="Times New Roman"/>
          <w:sz w:val="24"/>
          <w:szCs w:val="24"/>
        </w:rPr>
        <w:t>1 δισ. ευρώ εκ των 4 δισ. ευρώ</w:t>
      </w:r>
      <w:r w:rsidR="0091077E">
        <w:rPr>
          <w:rFonts w:ascii="Times New Roman" w:hAnsi="Times New Roman"/>
          <w:sz w:val="24"/>
          <w:szCs w:val="24"/>
        </w:rPr>
        <w:t xml:space="preserve">, </w:t>
      </w:r>
      <w:r w:rsidRPr="00531B4F">
        <w:rPr>
          <w:rFonts w:ascii="Times New Roman" w:hAnsi="Times New Roman"/>
          <w:sz w:val="24"/>
          <w:szCs w:val="24"/>
        </w:rPr>
        <w:t>το υπόλοιπο δίδεται από τον τακτικό προϋπολογισμό και εμφανίζεται στην κατηγορία των μεταβιβάσεων),</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t>η επιδότηση επιτοκίου των επιχειρηματικών δανείων των επιχειρήσεων</w:t>
      </w:r>
      <w:r w:rsidR="00030228">
        <w:rPr>
          <w:rFonts w:ascii="Times New Roman" w:hAnsi="Times New Roman"/>
          <w:sz w:val="24"/>
          <w:szCs w:val="24"/>
        </w:rPr>
        <w:t>,</w:t>
      </w:r>
      <w:r w:rsidRPr="00531B4F">
        <w:rPr>
          <w:rFonts w:ascii="Times New Roman" w:hAnsi="Times New Roman"/>
          <w:sz w:val="24"/>
          <w:szCs w:val="24"/>
        </w:rPr>
        <w:t xml:space="preserve"> οι οποίες ανήκουν σε πληττόμενους κλάδου</w:t>
      </w:r>
      <w:r w:rsidR="00363F4B">
        <w:rPr>
          <w:rFonts w:ascii="Times New Roman" w:hAnsi="Times New Roman"/>
          <w:sz w:val="24"/>
          <w:szCs w:val="24"/>
        </w:rPr>
        <w:t>ς</w:t>
      </w:r>
      <w:r w:rsidRPr="00531B4F">
        <w:rPr>
          <w:rFonts w:ascii="Times New Roman" w:hAnsi="Times New Roman"/>
          <w:sz w:val="24"/>
          <w:szCs w:val="24"/>
        </w:rPr>
        <w:t>,</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t>το Ταμείο Εγγυοδοσίας της Ελληνικής Αναπτυξιακής Τράπεζας,</w:t>
      </w:r>
    </w:p>
    <w:p w:rsidR="00E71691" w:rsidRPr="007A0F25"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τ</w:t>
      </w:r>
      <w:r w:rsidRPr="007A0F25">
        <w:rPr>
          <w:rFonts w:ascii="Times New Roman" w:hAnsi="Times New Roman"/>
          <w:sz w:val="24"/>
          <w:szCs w:val="24"/>
        </w:rPr>
        <w:t>ο πρόγραμμ</w:t>
      </w:r>
      <w:r>
        <w:rPr>
          <w:rFonts w:ascii="Times New Roman" w:hAnsi="Times New Roman"/>
          <w:sz w:val="24"/>
          <w:szCs w:val="24"/>
        </w:rPr>
        <w:t>α κοινωνικού τουρισμού του ΟΑΕΔ,</w:t>
      </w:r>
    </w:p>
    <w:p w:rsidR="00E71691" w:rsidRPr="007A0F25"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τα έξοδα διαφήμισης του ΕΟΤ και</w:t>
      </w:r>
    </w:p>
    <w:p w:rsidR="00E71691" w:rsidRPr="007A0F25" w:rsidRDefault="00E71691" w:rsidP="00FE7E83">
      <w:pPr>
        <w:pStyle w:val="ListParagraph"/>
        <w:numPr>
          <w:ilvl w:val="0"/>
          <w:numId w:val="5"/>
        </w:numPr>
        <w:spacing w:after="0" w:line="240" w:lineRule="auto"/>
        <w:ind w:left="425" w:hanging="425"/>
        <w:contextualSpacing w:val="0"/>
        <w:jc w:val="both"/>
        <w:rPr>
          <w:rFonts w:ascii="Times New Roman" w:hAnsi="Times New Roman"/>
          <w:color w:val="000000"/>
          <w:sz w:val="24"/>
          <w:szCs w:val="24"/>
        </w:rPr>
      </w:pPr>
      <w:r w:rsidRPr="00531B4F">
        <w:rPr>
          <w:rFonts w:ascii="Times New Roman" w:hAnsi="Times New Roman"/>
          <w:sz w:val="24"/>
          <w:szCs w:val="24"/>
        </w:rPr>
        <w:t>το κεφάλαιο κίνησης</w:t>
      </w:r>
      <w:r w:rsidRPr="007A0F25">
        <w:rPr>
          <w:rFonts w:ascii="Times New Roman" w:hAnsi="Times New Roman"/>
          <w:color w:val="000000"/>
          <w:sz w:val="24"/>
          <w:szCs w:val="24"/>
        </w:rPr>
        <w:t xml:space="preserve"> στο πλαίσιο του Ταμείου Επιχειρηματικότητας (ΤΕΠΙΧ ΙΙ).</w:t>
      </w:r>
    </w:p>
    <w:p w:rsidR="00363F4B" w:rsidRDefault="00363F4B" w:rsidP="00E71691">
      <w:pPr>
        <w:jc w:val="both"/>
        <w:rPr>
          <w:bCs/>
          <w:iCs/>
          <w:szCs w:val="22"/>
        </w:rPr>
      </w:pPr>
    </w:p>
    <w:p w:rsidR="00E71691" w:rsidRDefault="00E71691" w:rsidP="00E71691">
      <w:pPr>
        <w:jc w:val="both"/>
        <w:rPr>
          <w:bCs/>
          <w:iCs/>
          <w:szCs w:val="22"/>
        </w:rPr>
      </w:pPr>
      <w:r>
        <w:rPr>
          <w:bCs/>
          <w:iCs/>
          <w:szCs w:val="22"/>
        </w:rPr>
        <w:t>Το σύνολο των προαναφερθέντων μέτρων είναι ύψους 4.</w:t>
      </w:r>
      <w:r w:rsidR="00E707DF">
        <w:rPr>
          <w:bCs/>
          <w:iCs/>
          <w:szCs w:val="22"/>
        </w:rPr>
        <w:t>340</w:t>
      </w:r>
      <w:r>
        <w:rPr>
          <w:bCs/>
          <w:iCs/>
          <w:szCs w:val="22"/>
        </w:rPr>
        <w:t xml:space="preserve"> εκατ. ευρώ περίπου και </w:t>
      </w:r>
      <w:r w:rsidR="0091077E">
        <w:rPr>
          <w:bCs/>
          <w:iCs/>
          <w:szCs w:val="22"/>
        </w:rPr>
        <w:t xml:space="preserve">καλύπτεται </w:t>
      </w:r>
      <w:r>
        <w:rPr>
          <w:bCs/>
          <w:iCs/>
          <w:szCs w:val="22"/>
        </w:rPr>
        <w:t>τόσο από τις πιστώσεις του αρχικ</w:t>
      </w:r>
      <w:r w:rsidR="00F5595F">
        <w:rPr>
          <w:bCs/>
          <w:iCs/>
          <w:szCs w:val="22"/>
        </w:rPr>
        <w:t>ού</w:t>
      </w:r>
      <w:r>
        <w:rPr>
          <w:bCs/>
          <w:iCs/>
          <w:szCs w:val="22"/>
        </w:rPr>
        <w:t xml:space="preserve"> προϋπολογισμού 2020</w:t>
      </w:r>
      <w:r w:rsidR="00030228">
        <w:rPr>
          <w:bCs/>
          <w:iCs/>
          <w:szCs w:val="22"/>
        </w:rPr>
        <w:t>,</w:t>
      </w:r>
      <w:r>
        <w:rPr>
          <w:bCs/>
          <w:iCs/>
          <w:szCs w:val="22"/>
        </w:rPr>
        <w:t xml:space="preserve"> όσο και από τις επιπλέον πιστώσεις που ψηφίστηκαν μέσω συμπληρωματικού προϋπολογισμού.</w:t>
      </w:r>
    </w:p>
    <w:p w:rsidR="00E71691" w:rsidRDefault="00E71691" w:rsidP="00E71691">
      <w:pPr>
        <w:ind w:left="284" w:hanging="284"/>
        <w:jc w:val="both"/>
        <w:rPr>
          <w:bCs/>
          <w:iCs/>
          <w:szCs w:val="22"/>
        </w:rPr>
      </w:pPr>
    </w:p>
    <w:p w:rsidR="00755797" w:rsidRDefault="00E71691" w:rsidP="00E71691">
      <w:pPr>
        <w:jc w:val="both"/>
        <w:rPr>
          <w:bCs/>
          <w:iCs/>
          <w:szCs w:val="22"/>
        </w:rPr>
      </w:pPr>
      <w:r>
        <w:rPr>
          <w:bCs/>
          <w:iCs/>
          <w:szCs w:val="22"/>
        </w:rPr>
        <w:t>Σημειωτέον ότι οι πιστώσεις από το αποθεματικό (τακτικό και ειδικ</w:t>
      </w:r>
      <w:r w:rsidR="00030228">
        <w:rPr>
          <w:bCs/>
          <w:iCs/>
          <w:szCs w:val="22"/>
        </w:rPr>
        <w:t>ό) ανακατανέμονται κατά τη</w:t>
      </w:r>
      <w:r>
        <w:rPr>
          <w:bCs/>
          <w:iCs/>
          <w:szCs w:val="22"/>
        </w:rPr>
        <w:t xml:space="preserve"> διάρκεια του έτους, προς ενίσχυση άλλων κατηγοριών δαπανών. Μ</w:t>
      </w:r>
      <w:r w:rsidRPr="00386616">
        <w:rPr>
          <w:bCs/>
          <w:iCs/>
          <w:szCs w:val="22"/>
        </w:rPr>
        <w:t>έχρι</w:t>
      </w:r>
      <w:r>
        <w:rPr>
          <w:bCs/>
          <w:iCs/>
          <w:szCs w:val="22"/>
        </w:rPr>
        <w:t xml:space="preserve"> την</w:t>
      </w:r>
      <w:r w:rsidRPr="00386616">
        <w:rPr>
          <w:bCs/>
          <w:iCs/>
          <w:szCs w:val="22"/>
        </w:rPr>
        <w:t xml:space="preserve"> </w:t>
      </w:r>
      <w:r>
        <w:rPr>
          <w:bCs/>
          <w:iCs/>
          <w:szCs w:val="22"/>
        </w:rPr>
        <w:t>31/07/2020 είχαν μεταφερθεί 654 εκατ. ευρώ</w:t>
      </w:r>
      <w:r w:rsidRPr="00386616">
        <w:rPr>
          <w:bCs/>
          <w:iCs/>
          <w:szCs w:val="22"/>
        </w:rPr>
        <w:t xml:space="preserve">, </w:t>
      </w:r>
      <w:r>
        <w:rPr>
          <w:bCs/>
          <w:iCs/>
          <w:szCs w:val="22"/>
        </w:rPr>
        <w:t>προκειμένου</w:t>
      </w:r>
      <w:r w:rsidRPr="00386616">
        <w:rPr>
          <w:bCs/>
          <w:iCs/>
          <w:szCs w:val="22"/>
        </w:rPr>
        <w:t xml:space="preserve"> να αντιμετωπισθούν δαπάνες κυρίως για</w:t>
      </w:r>
      <w:r>
        <w:rPr>
          <w:bCs/>
          <w:iCs/>
          <w:szCs w:val="22"/>
        </w:rPr>
        <w:t xml:space="preserve"> την</w:t>
      </w:r>
      <w:r w:rsidRPr="00386616">
        <w:rPr>
          <w:bCs/>
          <w:iCs/>
          <w:szCs w:val="22"/>
        </w:rPr>
        <w:t>:</w:t>
      </w:r>
    </w:p>
    <w:p w:rsidR="00E71691" w:rsidRPr="00A219EF" w:rsidRDefault="00E71691" w:rsidP="00E71691">
      <w:pPr>
        <w:jc w:val="both"/>
        <w:rPr>
          <w:bCs/>
          <w:iCs/>
          <w:szCs w:val="22"/>
        </w:rPr>
      </w:pPr>
      <w:r w:rsidRPr="00386616">
        <w:rPr>
          <w:bCs/>
          <w:iCs/>
          <w:szCs w:val="22"/>
        </w:rPr>
        <w:t xml:space="preserve"> </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t>εκτέλεση των τελεσίδικων και αμετάκλητων δικαστικών αποφάσεων,</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t>αντιμετώπιση των φυσικών καταστροφών,</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t xml:space="preserve">πληρωμή Υπηρεσιών Κοινής Ωφελείας περιόδου 2007-2011, </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t>επιχορήγηση προς τον ΕΛΓΑ,</w:t>
      </w:r>
    </w:p>
    <w:p w:rsidR="00E71691" w:rsidRPr="00531B4F" w:rsidRDefault="00E71691" w:rsidP="00FE7E83">
      <w:pPr>
        <w:pStyle w:val="ListParagraph"/>
        <w:numPr>
          <w:ilvl w:val="0"/>
          <w:numId w:val="5"/>
        </w:numPr>
        <w:spacing w:after="0" w:line="240" w:lineRule="auto"/>
        <w:ind w:left="425" w:hanging="425"/>
        <w:contextualSpacing w:val="0"/>
        <w:jc w:val="both"/>
        <w:rPr>
          <w:rFonts w:ascii="Times New Roman" w:hAnsi="Times New Roman"/>
          <w:sz w:val="24"/>
          <w:szCs w:val="24"/>
        </w:rPr>
      </w:pPr>
      <w:r w:rsidRPr="00531B4F">
        <w:rPr>
          <w:rFonts w:ascii="Times New Roman" w:hAnsi="Times New Roman"/>
          <w:sz w:val="24"/>
          <w:szCs w:val="24"/>
        </w:rPr>
        <w:lastRenderedPageBreak/>
        <w:t>κάλυψη μέρους των δαπανών μεταναστευτικών ροών και</w:t>
      </w:r>
    </w:p>
    <w:p w:rsidR="00E71691" w:rsidRDefault="00E71691" w:rsidP="00FE7E83">
      <w:pPr>
        <w:pStyle w:val="ListParagraph"/>
        <w:numPr>
          <w:ilvl w:val="0"/>
          <w:numId w:val="5"/>
        </w:numPr>
        <w:spacing w:after="0" w:line="240" w:lineRule="auto"/>
        <w:ind w:left="425" w:hanging="425"/>
        <w:contextualSpacing w:val="0"/>
        <w:jc w:val="both"/>
        <w:rPr>
          <w:rFonts w:ascii="Times New Roman" w:hAnsi="Times New Roman"/>
          <w:bCs/>
          <w:sz w:val="24"/>
          <w:szCs w:val="24"/>
          <w:lang w:bidi="en-US"/>
        </w:rPr>
      </w:pPr>
      <w:r w:rsidRPr="00531B4F">
        <w:rPr>
          <w:rFonts w:ascii="Times New Roman" w:hAnsi="Times New Roman"/>
          <w:sz w:val="24"/>
          <w:szCs w:val="24"/>
        </w:rPr>
        <w:t>επιχορήγηση</w:t>
      </w:r>
      <w:r>
        <w:rPr>
          <w:rFonts w:ascii="Times New Roman" w:hAnsi="Times New Roman"/>
          <w:bCs/>
          <w:sz w:val="24"/>
          <w:szCs w:val="24"/>
        </w:rPr>
        <w:t xml:space="preserve"> προς την ΛΑΡΚΟ.</w:t>
      </w:r>
    </w:p>
    <w:p w:rsidR="00030228" w:rsidRPr="00F4000D" w:rsidRDefault="00030228" w:rsidP="00E71691">
      <w:pPr>
        <w:pStyle w:val="ListParagraph"/>
        <w:spacing w:after="0" w:line="240" w:lineRule="auto"/>
        <w:ind w:left="284"/>
        <w:contextualSpacing w:val="0"/>
        <w:jc w:val="both"/>
        <w:rPr>
          <w:rFonts w:ascii="Times New Roman" w:hAnsi="Times New Roman"/>
          <w:bCs/>
          <w:iCs/>
          <w:sz w:val="24"/>
          <w:szCs w:val="24"/>
        </w:rPr>
      </w:pPr>
    </w:p>
    <w:p w:rsidR="00E71691" w:rsidRPr="00B3414B" w:rsidRDefault="00E71691" w:rsidP="008100EB">
      <w:pPr>
        <w:jc w:val="both"/>
        <w:rPr>
          <w:rFonts w:ascii="Arial Narrow" w:hAnsi="Arial Narrow"/>
          <w:b/>
          <w:bCs/>
          <w:iCs/>
          <w:sz w:val="22"/>
          <w:szCs w:val="22"/>
          <w:lang w:bidi="en-US"/>
        </w:rPr>
      </w:pPr>
      <w:r w:rsidRPr="00B3414B">
        <w:rPr>
          <w:rFonts w:ascii="Arial Narrow" w:hAnsi="Arial Narrow"/>
          <w:b/>
          <w:bCs/>
          <w:iCs/>
          <w:sz w:val="22"/>
          <w:szCs w:val="22"/>
          <w:lang w:bidi="en-US"/>
        </w:rPr>
        <w:t>Πάγια περιουσιακά στοιχεία</w:t>
      </w:r>
    </w:p>
    <w:p w:rsidR="00E71691" w:rsidRDefault="00E71691" w:rsidP="00E71691">
      <w:pPr>
        <w:jc w:val="both"/>
        <w:rPr>
          <w:bCs/>
          <w:iCs/>
          <w:szCs w:val="22"/>
        </w:rPr>
      </w:pPr>
    </w:p>
    <w:p w:rsidR="00E71691" w:rsidRPr="00C860C1" w:rsidRDefault="00E71691" w:rsidP="00E71691">
      <w:pPr>
        <w:jc w:val="both"/>
        <w:rPr>
          <w:bCs/>
          <w:iCs/>
          <w:szCs w:val="22"/>
        </w:rPr>
      </w:pPr>
      <w:r w:rsidRPr="00C860C1">
        <w:rPr>
          <w:bCs/>
          <w:iCs/>
          <w:szCs w:val="22"/>
        </w:rPr>
        <w:t>Στην κατηγορία αυτή περιλαμβάνονται κυρίως οι εκτιμώμενες δαπάνες αγοράς οπλικών συστημάτων.</w:t>
      </w:r>
      <w:r>
        <w:rPr>
          <w:bCs/>
          <w:iCs/>
          <w:szCs w:val="22"/>
        </w:rPr>
        <w:t xml:space="preserve"> Οι συνολικές </w:t>
      </w:r>
      <w:r w:rsidRPr="0013008F">
        <w:rPr>
          <w:bCs/>
          <w:iCs/>
          <w:szCs w:val="22"/>
        </w:rPr>
        <w:t>δαπάνες εκτιμώνται σε 636 εκατ. ευρώ και περιλαμβάνουν</w:t>
      </w:r>
      <w:r>
        <w:rPr>
          <w:bCs/>
          <w:iCs/>
          <w:szCs w:val="22"/>
        </w:rPr>
        <w:t xml:space="preserve"> κυρίως</w:t>
      </w:r>
      <w:r w:rsidRPr="0013008F">
        <w:rPr>
          <w:bCs/>
          <w:iCs/>
          <w:szCs w:val="22"/>
        </w:rPr>
        <w:t xml:space="preserve"> τις φυσικές παραλαβές εξοπλιστικών προγραμμάτων.</w:t>
      </w:r>
    </w:p>
    <w:p w:rsidR="00E71691" w:rsidRDefault="00E71691" w:rsidP="00E71691">
      <w:pPr>
        <w:contextualSpacing/>
        <w:jc w:val="both"/>
        <w:rPr>
          <w:rFonts w:ascii="Arial Narrow" w:hAnsi="Arial Narrow"/>
          <w:b/>
          <w:bCs/>
          <w:color w:val="000080"/>
          <w:szCs w:val="22"/>
        </w:rPr>
      </w:pPr>
    </w:p>
    <w:p w:rsidR="00AD1273" w:rsidRPr="000748D9" w:rsidRDefault="00AD1273" w:rsidP="00AD1273">
      <w:pPr>
        <w:contextualSpacing/>
        <w:jc w:val="both"/>
        <w:rPr>
          <w:rFonts w:ascii="Arial Narrow" w:hAnsi="Arial Narrow"/>
          <w:b/>
          <w:bCs/>
          <w:color w:val="000080"/>
          <w:szCs w:val="22"/>
        </w:rPr>
      </w:pPr>
      <w:r w:rsidRPr="000748D9">
        <w:rPr>
          <w:rFonts w:ascii="Arial Narrow" w:hAnsi="Arial Narrow"/>
          <w:b/>
          <w:bCs/>
          <w:color w:val="000080"/>
          <w:szCs w:val="22"/>
        </w:rPr>
        <w:t>1.2</w:t>
      </w:r>
      <w:r w:rsidRPr="000748D9">
        <w:rPr>
          <w:rFonts w:ascii="Arial Narrow" w:hAnsi="Arial Narrow"/>
          <w:b/>
          <w:bCs/>
          <w:color w:val="000080"/>
          <w:szCs w:val="22"/>
        </w:rPr>
        <w:tab/>
        <w:t>Πρόγραμμα Δημοσίων Επενδύσεων (ΠΔΕ)</w:t>
      </w:r>
    </w:p>
    <w:p w:rsidR="000748D9" w:rsidRDefault="000748D9" w:rsidP="000748D9">
      <w:pPr>
        <w:jc w:val="both"/>
      </w:pPr>
    </w:p>
    <w:p w:rsidR="000748D9" w:rsidRPr="00E82E52" w:rsidRDefault="00030228" w:rsidP="000748D9">
      <w:pPr>
        <w:jc w:val="both"/>
      </w:pPr>
      <w:r w:rsidRPr="00E82E52">
        <w:t xml:space="preserve">Ο </w:t>
      </w:r>
      <w:r w:rsidR="000748D9" w:rsidRPr="00E82E52">
        <w:t xml:space="preserve">αρχικός Προϋπολογισμός Δημοσίων Επενδύσεων </w:t>
      </w:r>
      <w:r>
        <w:t xml:space="preserve">έτους 2020 </w:t>
      </w:r>
      <w:r w:rsidR="000748D9" w:rsidRPr="00E82E52">
        <w:t>ανερχόταν σε 6.000 εκατ. ευρώ για συγχρηματοδοτούμενα έργα και 750 εκατ. ευρώ για έργα χρηματοδοτούμενα αμιγώς από εθνικούς πόρους. Τον Μάιο του 2020 ψηφίστηκε συμπληρωματικός Προϋπολογισμός Δημοσίων Επενδύσεων, σύμφωνα με τον οποίο τα παραπάνω όρια δαπάνης αυξήθηκαν σε 7.000 εκατ. ευρώ για το συγχρηματοδοτούμενο σκέλος και 1.000 εκατ. ευρώ για το εθνικό σκέλος. Τελικά για το 2020, προκειμένου η χώρα</w:t>
      </w:r>
      <w:r w:rsidR="000748D9" w:rsidRPr="00E82E52">
        <w:rPr>
          <w:color w:val="0070C0"/>
        </w:rPr>
        <w:t xml:space="preserve"> </w:t>
      </w:r>
      <w:r w:rsidR="000748D9" w:rsidRPr="00E82E52">
        <w:t xml:space="preserve">μας να ανταποκριθεί στις αυξημένες ανάγκες χρηματοδότησης για την αντιμετώπιση των συνεχιζόμενων συνεπειών της πανδημίας </w:t>
      </w:r>
      <w:r w:rsidR="00BE23E9">
        <w:t>Covid-19</w:t>
      </w:r>
      <w:r w:rsidR="000748D9" w:rsidRPr="00E82E52">
        <w:t xml:space="preserve"> και συγχρόνως να χρηματοδοτήσει απρόσκοπτα τα έργα του ΕΣΠΑ, θα διαθέσει στο ΠΔΕ 7.500 εκατ. ευρώ για την υλοποίηση συγχρηματοδοτούμενων έργων και 2.021 εκατ. ευρώ για έργα χρηματοδοτούμενα αμιγώς από εθνικούς πόρους, διαμορφώνοντας το συνολικό εκτιμώμενο όριο δαπάνης του ΠΔΕ σε 9.521 εκατ. ευρώ. Προς το</w:t>
      </w:r>
      <w:r w:rsidR="000748D9">
        <w:t>ν</w:t>
      </w:r>
      <w:r w:rsidR="000748D9" w:rsidRPr="00E82E52">
        <w:t xml:space="preserve"> σκοπό αυτό επίκειται η άμεση κατάθεση νέου συμπληρωματικού Προϋπολογισμού Δημοσίων Επενδύσεων για ψήφιση από τη Βουλή.</w:t>
      </w:r>
    </w:p>
    <w:p w:rsidR="000748D9" w:rsidRDefault="000748D9" w:rsidP="000748D9">
      <w:pPr>
        <w:jc w:val="both"/>
      </w:pPr>
    </w:p>
    <w:p w:rsidR="000748D9" w:rsidRPr="00E82E52" w:rsidRDefault="000748D9" w:rsidP="000748D9">
      <w:pPr>
        <w:jc w:val="both"/>
      </w:pPr>
      <w:r w:rsidRPr="00E82E52">
        <w:t>Ο βασικός στόχος κατά την εκτέλεση του ΠΔΕ 2020 συνεχίζει να παραμένει η πλήρης απορρόφηση και αξιοποίηση των διατιθέμενων πόρων, με έμφαση σε εκείνους που προέρχονται από τα συγχρηματοδοτούμενα προγράμματα</w:t>
      </w:r>
      <w:r w:rsidR="00030228">
        <w:t>,</w:t>
      </w:r>
      <w:r w:rsidRPr="00E82E52">
        <w:t xml:space="preserve"> στο πλαίσιο των αναπτυξιακών στόχων και των παρεμβάσεων στήριξης της οικονομίας.</w:t>
      </w:r>
    </w:p>
    <w:p w:rsidR="000748D9" w:rsidRDefault="000748D9" w:rsidP="000748D9">
      <w:pPr>
        <w:jc w:val="both"/>
      </w:pPr>
    </w:p>
    <w:p w:rsidR="000748D9" w:rsidRDefault="000748D9" w:rsidP="000748D9">
      <w:pPr>
        <w:jc w:val="both"/>
      </w:pPr>
      <w:r w:rsidRPr="00E82E52">
        <w:t>Τέλος, ενισχύονται πολιτικές των Υπουργείων και των Περιφερειών με χρηματοδοτήσεις από εθνικούς πόρους για έργα και δράσεις που αφορούν είτε στις πολιτικές των Φορέων, είτε στην αντιμετώπιση έκτακτων αναγκών.</w:t>
      </w:r>
    </w:p>
    <w:p w:rsidR="000748D9" w:rsidRPr="00552F6B" w:rsidRDefault="000748D9" w:rsidP="000748D9">
      <w:pPr>
        <w:jc w:val="both"/>
      </w:pPr>
    </w:p>
    <w:p w:rsidR="00D710D3" w:rsidRPr="00552F6B" w:rsidRDefault="00D710D3" w:rsidP="00D710D3">
      <w:pPr>
        <w:contextualSpacing/>
        <w:jc w:val="both"/>
        <w:rPr>
          <w:rFonts w:ascii="Arial Narrow" w:hAnsi="Arial Narrow"/>
          <w:b/>
          <w:bCs/>
          <w:color w:val="000080"/>
          <w:szCs w:val="22"/>
        </w:rPr>
      </w:pPr>
      <w:r w:rsidRPr="00552F6B">
        <w:rPr>
          <w:rFonts w:ascii="Arial Narrow" w:hAnsi="Arial Narrow"/>
          <w:b/>
          <w:bCs/>
          <w:color w:val="000080"/>
          <w:szCs w:val="22"/>
        </w:rPr>
        <w:t>1.3</w:t>
      </w:r>
      <w:r w:rsidRPr="00552F6B">
        <w:rPr>
          <w:rFonts w:ascii="Arial Narrow" w:hAnsi="Arial Narrow"/>
          <w:b/>
          <w:bCs/>
          <w:color w:val="000080"/>
          <w:szCs w:val="22"/>
        </w:rPr>
        <w:tab/>
        <w:t>Λοιποί υποτομείς Γενικής Κυβέρνησης</w:t>
      </w:r>
    </w:p>
    <w:p w:rsidR="003377C3" w:rsidRPr="00552F6B" w:rsidRDefault="003377C3" w:rsidP="00721AF9">
      <w:pPr>
        <w:jc w:val="both"/>
        <w:rPr>
          <w:szCs w:val="22"/>
        </w:rPr>
      </w:pPr>
    </w:p>
    <w:p w:rsidR="00B82E15" w:rsidRPr="00552F6B" w:rsidRDefault="00B82E15" w:rsidP="00B82E15">
      <w:pPr>
        <w:tabs>
          <w:tab w:val="left" w:pos="360"/>
        </w:tabs>
        <w:contextualSpacing/>
        <w:jc w:val="both"/>
        <w:rPr>
          <w:rFonts w:ascii="Arial Narrow" w:hAnsi="Arial Narrow"/>
          <w:b/>
          <w:color w:val="000080"/>
          <w:sz w:val="22"/>
          <w:szCs w:val="22"/>
        </w:rPr>
      </w:pPr>
      <w:r w:rsidRPr="00552F6B">
        <w:rPr>
          <w:rFonts w:ascii="Arial Narrow" w:hAnsi="Arial Narrow"/>
          <w:b/>
          <w:color w:val="000080"/>
          <w:sz w:val="22"/>
          <w:szCs w:val="22"/>
        </w:rPr>
        <w:t>Νομικά Πρόσωπα</w:t>
      </w:r>
    </w:p>
    <w:p w:rsidR="00B82E15" w:rsidRPr="00552F6B" w:rsidRDefault="00B82E15" w:rsidP="00721AF9">
      <w:pPr>
        <w:jc w:val="both"/>
        <w:rPr>
          <w:szCs w:val="22"/>
        </w:rPr>
      </w:pPr>
    </w:p>
    <w:p w:rsidR="00B82E15" w:rsidRPr="00030228" w:rsidRDefault="00B82E15" w:rsidP="00721AF9">
      <w:pPr>
        <w:jc w:val="both"/>
        <w:rPr>
          <w:szCs w:val="22"/>
        </w:rPr>
      </w:pPr>
      <w:r w:rsidRPr="00030228">
        <w:rPr>
          <w:szCs w:val="22"/>
        </w:rPr>
        <w:t>Το δημοσιονομικό αποτέλεσμα των ν</w:t>
      </w:r>
      <w:r w:rsidR="00030228">
        <w:rPr>
          <w:szCs w:val="22"/>
        </w:rPr>
        <w:t>ομικών προσώπων για το έτος 2020</w:t>
      </w:r>
      <w:r w:rsidRPr="00030228">
        <w:rPr>
          <w:szCs w:val="22"/>
        </w:rPr>
        <w:t xml:space="preserve"> αναμένεται να διαμορφωθεί στα </w:t>
      </w:r>
      <w:r w:rsidR="00030228">
        <w:rPr>
          <w:szCs w:val="22"/>
        </w:rPr>
        <w:t>3.847</w:t>
      </w:r>
      <w:r w:rsidRPr="00030228">
        <w:rPr>
          <w:szCs w:val="22"/>
        </w:rPr>
        <w:t xml:space="preserve"> εκατ. ευρώ, υψηλότερο κατά </w:t>
      </w:r>
      <w:r w:rsidR="00030228">
        <w:rPr>
          <w:szCs w:val="22"/>
        </w:rPr>
        <w:t>1.062</w:t>
      </w:r>
      <w:r w:rsidRPr="00030228">
        <w:rPr>
          <w:szCs w:val="22"/>
        </w:rPr>
        <w:t xml:space="preserve"> εκατ. ευρώ</w:t>
      </w:r>
      <w:r w:rsidR="00F35881" w:rsidRPr="00030228">
        <w:rPr>
          <w:szCs w:val="22"/>
        </w:rPr>
        <w:t>,</w:t>
      </w:r>
      <w:r w:rsidRPr="00030228">
        <w:rPr>
          <w:szCs w:val="22"/>
        </w:rPr>
        <w:t xml:space="preserve"> σε σχέση με τ</w:t>
      </w:r>
      <w:r w:rsidR="00F35881" w:rsidRPr="00030228">
        <w:rPr>
          <w:szCs w:val="22"/>
        </w:rPr>
        <w:t xml:space="preserve">ον στόχο </w:t>
      </w:r>
      <w:r w:rsidR="00030228">
        <w:rPr>
          <w:szCs w:val="22"/>
        </w:rPr>
        <w:t>του προϋπολογισμού του 2020</w:t>
      </w:r>
      <w:r w:rsidRPr="00030228">
        <w:rPr>
          <w:szCs w:val="22"/>
        </w:rPr>
        <w:t>, κυρίως λόγω αυξημένων κεφαλαιακών μεταβιβάσεων</w:t>
      </w:r>
      <w:r w:rsidR="00207BDD">
        <w:rPr>
          <w:szCs w:val="22"/>
        </w:rPr>
        <w:t xml:space="preserve"> που συνδέονται με την αντιμετώπιση των συνεπειών της πανδημίας</w:t>
      </w:r>
      <w:r w:rsidRPr="00030228">
        <w:rPr>
          <w:szCs w:val="22"/>
        </w:rPr>
        <w:t>.</w:t>
      </w:r>
    </w:p>
    <w:p w:rsidR="00B82E15" w:rsidRPr="00D41127" w:rsidRDefault="00B82E15" w:rsidP="00721AF9">
      <w:pPr>
        <w:tabs>
          <w:tab w:val="left" w:pos="360"/>
        </w:tabs>
        <w:contextualSpacing/>
        <w:jc w:val="both"/>
        <w:rPr>
          <w:rFonts w:ascii="Arial Narrow" w:hAnsi="Arial Narrow"/>
          <w:b/>
          <w:color w:val="000080"/>
          <w:sz w:val="22"/>
          <w:szCs w:val="22"/>
        </w:rPr>
      </w:pPr>
    </w:p>
    <w:p w:rsidR="00F35881" w:rsidRPr="00D41127" w:rsidRDefault="00F35881" w:rsidP="00F35881">
      <w:pPr>
        <w:tabs>
          <w:tab w:val="left" w:pos="360"/>
        </w:tabs>
        <w:contextualSpacing/>
        <w:jc w:val="both"/>
        <w:rPr>
          <w:b/>
          <w:bCs/>
          <w:szCs w:val="22"/>
        </w:rPr>
      </w:pPr>
      <w:r w:rsidRPr="00D41127">
        <w:rPr>
          <w:rFonts w:ascii="Arial Narrow" w:hAnsi="Arial Narrow"/>
          <w:b/>
          <w:color w:val="000080"/>
          <w:sz w:val="22"/>
          <w:szCs w:val="22"/>
        </w:rPr>
        <w:t xml:space="preserve">Νοσοκομεία και Πρωτοβάθμια Φροντίδα Υγείας </w:t>
      </w:r>
    </w:p>
    <w:p w:rsidR="00F35881" w:rsidRPr="00D41127" w:rsidRDefault="00F35881" w:rsidP="00F35881">
      <w:pPr>
        <w:jc w:val="both"/>
        <w:rPr>
          <w:szCs w:val="22"/>
          <w:u w:val="single"/>
        </w:rPr>
      </w:pPr>
    </w:p>
    <w:p w:rsidR="00F35881" w:rsidRDefault="00D41127" w:rsidP="00F35881">
      <w:pPr>
        <w:jc w:val="both"/>
        <w:rPr>
          <w:szCs w:val="22"/>
        </w:rPr>
      </w:pPr>
      <w:r w:rsidRPr="00D41127">
        <w:rPr>
          <w:szCs w:val="22"/>
        </w:rPr>
        <w:t xml:space="preserve">Το </w:t>
      </w:r>
      <w:r w:rsidR="00F35881" w:rsidRPr="00D41127">
        <w:rPr>
          <w:szCs w:val="22"/>
        </w:rPr>
        <w:t xml:space="preserve">δημοσιονομικό αποτέλεσμα των </w:t>
      </w:r>
      <w:r w:rsidR="00030228" w:rsidRPr="00D41127">
        <w:rPr>
          <w:szCs w:val="22"/>
        </w:rPr>
        <w:t xml:space="preserve">Νοσοκομείων </w:t>
      </w:r>
      <w:r w:rsidR="00F35881" w:rsidRPr="00D41127">
        <w:rPr>
          <w:szCs w:val="22"/>
        </w:rPr>
        <w:t xml:space="preserve">και της Πρωτοβάθμιας Φροντίδας Υγείας </w:t>
      </w:r>
      <w:r>
        <w:rPr>
          <w:szCs w:val="22"/>
        </w:rPr>
        <w:t>εκτιμάται ότι θα διαμορφωθεί σε έλλειμμα ύψους 66 εκατ. ευρώ παρουσιάζοντας επιδείνωση σε σχέση με την πρόβλεψη του προϋπολογισμού κατά 41 εκατ. ευρώ.</w:t>
      </w:r>
    </w:p>
    <w:p w:rsidR="00EC24F5" w:rsidRDefault="00EC24F5" w:rsidP="00F35881">
      <w:pPr>
        <w:jc w:val="both"/>
        <w:rPr>
          <w:szCs w:val="22"/>
        </w:rPr>
      </w:pPr>
    </w:p>
    <w:p w:rsidR="00EC24F5" w:rsidRPr="00D41127" w:rsidRDefault="00EC24F5" w:rsidP="00F35881">
      <w:pPr>
        <w:jc w:val="both"/>
        <w:rPr>
          <w:szCs w:val="22"/>
        </w:rPr>
      </w:pPr>
      <w:r>
        <w:rPr>
          <w:szCs w:val="22"/>
        </w:rPr>
        <w:lastRenderedPageBreak/>
        <w:t xml:space="preserve">Το αναμενόμενο δημοσιονομικό αποτέλεσμα διαμορφώνεται από αυξημένες εκτιμήσεις εσόδων και δαπανών κατά 227 εκατ. ευρώ και κατά 269 εκατ. ευρώ, αντίστοιχα, έναντι των αρχικών προβλέψεων, που οφείλονται κατά κύριο λόγο στις αυξημένες επιχορηγήσεις από τον τακτικό προϋπολογισμό και το ΠΔΕ και την αντίστοιχη αύξηση των δαπανών για τη λήψη μέτρων πρόληψης, υγειονομικής παρακολούθησης και περιορισμού της διάδοσης του </w:t>
      </w:r>
      <w:proofErr w:type="spellStart"/>
      <w:r>
        <w:rPr>
          <w:szCs w:val="22"/>
        </w:rPr>
        <w:t>κορωνοϊού</w:t>
      </w:r>
      <w:proofErr w:type="spellEnd"/>
      <w:r>
        <w:rPr>
          <w:szCs w:val="22"/>
        </w:rPr>
        <w:t>.</w:t>
      </w:r>
    </w:p>
    <w:p w:rsidR="00C33856" w:rsidRPr="00D41127" w:rsidRDefault="00C33856" w:rsidP="00F35881">
      <w:pPr>
        <w:jc w:val="both"/>
        <w:rPr>
          <w:szCs w:val="22"/>
        </w:rPr>
      </w:pPr>
    </w:p>
    <w:p w:rsidR="00721AF9" w:rsidRPr="00C57558" w:rsidRDefault="00796E15" w:rsidP="00721AF9">
      <w:pPr>
        <w:tabs>
          <w:tab w:val="left" w:pos="360"/>
        </w:tabs>
        <w:contextualSpacing/>
        <w:jc w:val="both"/>
        <w:rPr>
          <w:rFonts w:ascii="Arial Narrow" w:hAnsi="Arial Narrow"/>
          <w:b/>
          <w:color w:val="000080"/>
          <w:sz w:val="22"/>
          <w:szCs w:val="22"/>
        </w:rPr>
      </w:pPr>
      <w:r>
        <w:rPr>
          <w:rFonts w:ascii="Arial Narrow" w:hAnsi="Arial Narrow"/>
          <w:b/>
          <w:color w:val="000080"/>
          <w:sz w:val="22"/>
          <w:szCs w:val="22"/>
        </w:rPr>
        <w:t xml:space="preserve">Οργανισμοί </w:t>
      </w:r>
      <w:r w:rsidR="00721AF9" w:rsidRPr="00C57558">
        <w:rPr>
          <w:rFonts w:ascii="Arial Narrow" w:hAnsi="Arial Narrow"/>
          <w:b/>
          <w:color w:val="000080"/>
          <w:sz w:val="22"/>
          <w:szCs w:val="22"/>
        </w:rPr>
        <w:t>Τοπική</w:t>
      </w:r>
      <w:r>
        <w:rPr>
          <w:rFonts w:ascii="Arial Narrow" w:hAnsi="Arial Narrow"/>
          <w:b/>
          <w:color w:val="000080"/>
          <w:sz w:val="22"/>
          <w:szCs w:val="22"/>
        </w:rPr>
        <w:t>ς</w:t>
      </w:r>
      <w:r w:rsidR="00721AF9" w:rsidRPr="00C57558">
        <w:rPr>
          <w:rFonts w:ascii="Arial Narrow" w:hAnsi="Arial Narrow"/>
          <w:b/>
          <w:color w:val="000080"/>
          <w:sz w:val="22"/>
          <w:szCs w:val="22"/>
        </w:rPr>
        <w:t xml:space="preserve"> Αυτοδιοίκηση</w:t>
      </w:r>
      <w:r>
        <w:rPr>
          <w:rFonts w:ascii="Arial Narrow" w:hAnsi="Arial Narrow"/>
          <w:b/>
          <w:color w:val="000080"/>
          <w:sz w:val="22"/>
          <w:szCs w:val="22"/>
        </w:rPr>
        <w:t>ς (ΟΤΑ)</w:t>
      </w:r>
    </w:p>
    <w:p w:rsidR="00721AF9" w:rsidRPr="00E643AA" w:rsidRDefault="00721AF9" w:rsidP="00721AF9">
      <w:pPr>
        <w:jc w:val="both"/>
        <w:rPr>
          <w:strike/>
          <w:szCs w:val="22"/>
        </w:rPr>
      </w:pPr>
    </w:p>
    <w:p w:rsidR="00721AF9" w:rsidRDefault="00721AF9" w:rsidP="00721AF9">
      <w:pPr>
        <w:jc w:val="both"/>
      </w:pPr>
      <w:r w:rsidRPr="00C57558">
        <w:t xml:space="preserve">Το </w:t>
      </w:r>
      <w:r w:rsidR="00C57558">
        <w:t xml:space="preserve">ισοζύγιο των ΟΤΑ κατά </w:t>
      </w:r>
      <w:r w:rsidR="00C57558">
        <w:rPr>
          <w:lang w:val="en-US"/>
        </w:rPr>
        <w:t>ESA</w:t>
      </w:r>
      <w:r w:rsidR="00C57558">
        <w:t xml:space="preserve"> για το 2020, σύμφωνα με τα διαθέσιμα στοιχεία, αναμένεται να ανέλθει σε έλλειμμα ύψους 100 εκατ. ευρώ, χαμηλότερο κατά 301 εκατ. ευρώ σε σχέση με τον </w:t>
      </w:r>
      <w:r w:rsidR="00042B29">
        <w:t xml:space="preserve">αρχικό </w:t>
      </w:r>
      <w:r w:rsidR="00C57558">
        <w:t>δημοσιονομικό στόχο.</w:t>
      </w:r>
    </w:p>
    <w:p w:rsidR="00C57558" w:rsidRDefault="00C57558" w:rsidP="00721AF9">
      <w:pPr>
        <w:jc w:val="both"/>
      </w:pPr>
    </w:p>
    <w:p w:rsidR="00C57558" w:rsidRDefault="00C57558" w:rsidP="00721AF9">
      <w:pPr>
        <w:jc w:val="both"/>
      </w:pPr>
      <w:r>
        <w:t xml:space="preserve">Οι κυριότεροι </w:t>
      </w:r>
      <w:r w:rsidR="007E370D">
        <w:t>παράγοντες που επηρεάζουν την εκτίμηση του δημοσιονομικού αποτελέσματος, καθώς και την απόκλισή του από τον στόχο είναι:</w:t>
      </w:r>
    </w:p>
    <w:p w:rsidR="007E370D" w:rsidRDefault="007E370D" w:rsidP="00721AF9">
      <w:pPr>
        <w:jc w:val="both"/>
      </w:pPr>
    </w:p>
    <w:p w:rsidR="007E370D" w:rsidRDefault="007E370D" w:rsidP="00C63817">
      <w:pPr>
        <w:tabs>
          <w:tab w:val="left" w:pos="426"/>
        </w:tabs>
        <w:ind w:left="426" w:hanging="426"/>
        <w:jc w:val="both"/>
      </w:pPr>
      <w:r>
        <w:t>-</w:t>
      </w:r>
      <w:r>
        <w:tab/>
        <w:t>η μείωση των ιδίων εσόδων των ΟΤΑ (ανταποδοτικά τέλη, φόροι, λοιπά τέλη, δικαιώματα, παροχή υπηρεσιών) έναντι των προβλέψεων</w:t>
      </w:r>
      <w:r w:rsidR="00030228">
        <w:t>,</w:t>
      </w:r>
      <w:r>
        <w:t xml:space="preserve"> λόγω των άμεσων και έμμεσων επιπτώσεων της πανδημίας</w:t>
      </w:r>
      <w:r w:rsidR="00033C6F" w:rsidRPr="00033C6F">
        <w:t xml:space="preserve">, </w:t>
      </w:r>
      <w:r w:rsidR="00033C6F">
        <w:t>αλλά και της χρονικής μετάθεσης για το 2021 της επίδρασης από τη δήλωση της ορθής επιφάνειας των κτισμάτων</w:t>
      </w:r>
      <w:r>
        <w:t>,</w:t>
      </w:r>
    </w:p>
    <w:p w:rsidR="007E370D" w:rsidRDefault="007E370D" w:rsidP="00C63817">
      <w:pPr>
        <w:tabs>
          <w:tab w:val="left" w:pos="426"/>
        </w:tabs>
        <w:ind w:left="426" w:hanging="426"/>
        <w:jc w:val="both"/>
      </w:pPr>
      <w:r>
        <w:t>-</w:t>
      </w:r>
      <w:r>
        <w:tab/>
        <w:t>η έκτακτη επιχορήγηση που έλαβαν οι ΟΤΑ από τον τακτικό προϋπολογισμό ύψο</w:t>
      </w:r>
      <w:r w:rsidR="00030228">
        <w:t>υ</w:t>
      </w:r>
      <w:r>
        <w:t>ς 95 εκατ. ευρώ</w:t>
      </w:r>
      <w:r w:rsidR="00030228">
        <w:t>,</w:t>
      </w:r>
      <w:r>
        <w:t xml:space="preserve"> λόγω των συνεπειών της πανδημίας, καθώς και η επιπλέον επιχορήγησή τους με ποσό ύψους 116 εκατ. ευρώ για την εκκαθάριση ληξιπρόθεσμων οφειλών τους και</w:t>
      </w:r>
    </w:p>
    <w:p w:rsidR="007E370D" w:rsidRPr="00C57558" w:rsidRDefault="007E370D" w:rsidP="00C63817">
      <w:pPr>
        <w:tabs>
          <w:tab w:val="left" w:pos="426"/>
        </w:tabs>
        <w:ind w:left="426" w:hanging="426"/>
        <w:jc w:val="both"/>
        <w:rPr>
          <w:szCs w:val="22"/>
        </w:rPr>
      </w:pPr>
      <w:r>
        <w:t>-</w:t>
      </w:r>
      <w:r>
        <w:tab/>
        <w:t>η συγκράτηση των λειτουργικών τους δαπανών.</w:t>
      </w:r>
    </w:p>
    <w:p w:rsidR="003377C3" w:rsidRPr="00E643AA" w:rsidRDefault="003377C3" w:rsidP="00721AF9">
      <w:pPr>
        <w:jc w:val="both"/>
        <w:rPr>
          <w:strike/>
          <w:szCs w:val="22"/>
        </w:rPr>
      </w:pPr>
    </w:p>
    <w:p w:rsidR="00F77E85" w:rsidRPr="007553C2" w:rsidRDefault="00796E15" w:rsidP="00F77E85">
      <w:pPr>
        <w:jc w:val="both"/>
        <w:rPr>
          <w:rFonts w:ascii="Arial Narrow" w:hAnsi="Arial Narrow"/>
          <w:b/>
          <w:bCs/>
          <w:color w:val="000080"/>
        </w:rPr>
      </w:pPr>
      <w:r>
        <w:rPr>
          <w:rFonts w:ascii="Arial Narrow" w:hAnsi="Arial Narrow"/>
          <w:b/>
          <w:bCs/>
          <w:color w:val="000080"/>
        </w:rPr>
        <w:t xml:space="preserve">Οργανισμοί </w:t>
      </w:r>
      <w:r w:rsidR="00F77E85" w:rsidRPr="007553C2">
        <w:rPr>
          <w:rFonts w:ascii="Arial Narrow" w:hAnsi="Arial Narrow"/>
          <w:b/>
          <w:bCs/>
          <w:color w:val="000080"/>
        </w:rPr>
        <w:t>Κοινωνικ</w:t>
      </w:r>
      <w:r>
        <w:rPr>
          <w:rFonts w:ascii="Arial Narrow" w:hAnsi="Arial Narrow"/>
          <w:b/>
          <w:bCs/>
          <w:color w:val="000080"/>
        </w:rPr>
        <w:t>ής</w:t>
      </w:r>
      <w:r w:rsidR="00F77E85" w:rsidRPr="007553C2">
        <w:rPr>
          <w:rFonts w:ascii="Arial Narrow" w:hAnsi="Arial Narrow"/>
          <w:b/>
          <w:bCs/>
          <w:color w:val="000080"/>
        </w:rPr>
        <w:t xml:space="preserve"> </w:t>
      </w:r>
      <w:r>
        <w:rPr>
          <w:rFonts w:ascii="Arial Narrow" w:hAnsi="Arial Narrow"/>
          <w:b/>
          <w:bCs/>
          <w:color w:val="000080"/>
        </w:rPr>
        <w:t>Ασφάλισης</w:t>
      </w:r>
      <w:r w:rsidR="00F77E85" w:rsidRPr="007553C2">
        <w:rPr>
          <w:rFonts w:ascii="Arial Narrow" w:hAnsi="Arial Narrow"/>
          <w:b/>
          <w:bCs/>
          <w:color w:val="000080"/>
        </w:rPr>
        <w:t xml:space="preserve"> (</w:t>
      </w:r>
      <w:r>
        <w:rPr>
          <w:rFonts w:ascii="Arial Narrow" w:hAnsi="Arial Narrow"/>
          <w:b/>
          <w:bCs/>
          <w:color w:val="000080"/>
        </w:rPr>
        <w:t>ΟΚΑ</w:t>
      </w:r>
      <w:r w:rsidR="00F77E85" w:rsidRPr="007553C2">
        <w:rPr>
          <w:rFonts w:ascii="Arial Narrow" w:hAnsi="Arial Narrow"/>
          <w:b/>
          <w:bCs/>
          <w:color w:val="000080"/>
        </w:rPr>
        <w:t>)</w:t>
      </w:r>
    </w:p>
    <w:p w:rsidR="00F77E85" w:rsidRPr="00E643AA" w:rsidRDefault="00F77E85" w:rsidP="00F77E85">
      <w:pPr>
        <w:jc w:val="both"/>
        <w:rPr>
          <w:rFonts w:ascii="Arial Narrow" w:hAnsi="Arial Narrow"/>
          <w:b/>
          <w:bCs/>
          <w:strike/>
          <w:color w:val="000080"/>
        </w:rPr>
      </w:pPr>
    </w:p>
    <w:p w:rsidR="007553C2" w:rsidRDefault="007553C2" w:rsidP="007553C2">
      <w:pPr>
        <w:jc w:val="both"/>
      </w:pPr>
      <w:r w:rsidRPr="007553C2">
        <w:t xml:space="preserve">Το δημοσιονομικό αποτέλεσμα του υποτομέα των Οργανισμών Κοινωνικής Ασφάλισης (ΟΚΑ) για το 2020 εκτιμάται ότι θα </w:t>
      </w:r>
      <w:r w:rsidR="00030228">
        <w:t>παρουσιάσει επιδείνωση</w:t>
      </w:r>
      <w:r w:rsidRPr="007553C2">
        <w:t>, κατά 1.797 εκατ. ευρώ, σε σχέση με τις προβλέψεις του προϋπολογισμού</w:t>
      </w:r>
      <w:r>
        <w:t xml:space="preserve"> </w:t>
      </w:r>
      <w:r w:rsidRPr="007553C2">
        <w:t>για το τρέχον έτος, και αναμένεται να διαμορφωθεί σε οριακό πλεόνασμα ύψους 2 εκατ. ευρώ. </w:t>
      </w:r>
    </w:p>
    <w:p w:rsidR="007553C2" w:rsidRPr="007553C2" w:rsidRDefault="007553C2" w:rsidP="007553C2">
      <w:pPr>
        <w:jc w:val="both"/>
      </w:pPr>
      <w:r w:rsidRPr="007553C2">
        <w:t xml:space="preserve"> </w:t>
      </w:r>
    </w:p>
    <w:p w:rsidR="007553C2" w:rsidRDefault="007553C2" w:rsidP="007553C2">
      <w:pPr>
        <w:jc w:val="both"/>
      </w:pPr>
      <w:r w:rsidRPr="007553C2">
        <w:t>Ειδικότερα, τα συνολικά έσοδα εκτιμάται ότι θα παρουσιάσουν αύξηση κατά 363 εκατ. ευρώ περίπου σε σχέση με τις προβλέψεις του προϋπολογισμού αντικατοπτρίζοντας κατά κύριο λόγο:</w:t>
      </w:r>
    </w:p>
    <w:p w:rsidR="007553C2" w:rsidRPr="007553C2" w:rsidRDefault="007553C2" w:rsidP="007553C2">
      <w:pPr>
        <w:jc w:val="both"/>
      </w:pPr>
    </w:p>
    <w:p w:rsidR="007553C2" w:rsidRPr="007553C2" w:rsidRDefault="007553C2" w:rsidP="007553C2">
      <w:pPr>
        <w:numPr>
          <w:ilvl w:val="0"/>
          <w:numId w:val="10"/>
        </w:numPr>
        <w:ind w:left="284" w:hanging="284"/>
        <w:jc w:val="both"/>
      </w:pPr>
      <w:r w:rsidRPr="007553C2">
        <w:t>τη μείωση κατά 2.074 εκατ. ευρώ των εσόδων από ασφαλιστικές εισφορές</w:t>
      </w:r>
      <w:r w:rsidR="00030228">
        <w:t>,</w:t>
      </w:r>
      <w:r w:rsidRPr="007553C2">
        <w:t xml:space="preserve"> ως απ</w:t>
      </w:r>
      <w:r w:rsidR="00030228">
        <w:t xml:space="preserve">οτέλεσμα </w:t>
      </w:r>
      <w:r w:rsidRPr="007553C2">
        <w:t>των αρνητικών συνεπειών της πανδημίας στην οικονομία και την απασχόληση</w:t>
      </w:r>
      <w:r w:rsidR="00030228">
        <w:t>,</w:t>
      </w:r>
    </w:p>
    <w:p w:rsidR="007553C2" w:rsidRPr="007553C2" w:rsidRDefault="007553C2" w:rsidP="007553C2">
      <w:pPr>
        <w:numPr>
          <w:ilvl w:val="0"/>
          <w:numId w:val="10"/>
        </w:numPr>
        <w:ind w:left="284" w:hanging="284"/>
        <w:jc w:val="both"/>
      </w:pPr>
      <w:r w:rsidRPr="007553C2">
        <w:t>την αύξηση κατά 2.641 εκατ. ευρώ των εσόδων από μεταβιβάσεις από τον κρατικό προϋπολογισμό με σκοπό:</w:t>
      </w:r>
    </w:p>
    <w:p w:rsidR="007553C2" w:rsidRPr="007553C2" w:rsidRDefault="007553C2" w:rsidP="007553C2">
      <w:pPr>
        <w:ind w:left="720" w:hanging="436"/>
        <w:jc w:val="both"/>
      </w:pPr>
      <w:r>
        <w:t>-</w:t>
      </w:r>
      <w:r>
        <w:tab/>
      </w:r>
      <w:r w:rsidRPr="007553C2">
        <w:t>τη χρηματοδότηση δράσεων για τη στήριξη των εργαζομένων σε κλάδους της οικονομίας που πλήττονται από τις αρνητικές συνέπειες της πανδημίας</w:t>
      </w:r>
      <w:r w:rsidR="00446278">
        <w:t>,</w:t>
      </w:r>
      <w:r w:rsidRPr="007553C2">
        <w:t xml:space="preserve"> </w:t>
      </w:r>
      <w:r w:rsidR="008C03E9">
        <w:t>όπως η</w:t>
      </w:r>
      <w:r w:rsidRPr="007553C2">
        <w:t xml:space="preserve"> κάλυψη ασφαλιστικών εισφορών των εργαζομένων</w:t>
      </w:r>
      <w:r w:rsidR="00A07260">
        <w:t>,</w:t>
      </w:r>
      <w:r w:rsidRPr="007553C2">
        <w:t xml:space="preserve"> των οποίων οι συμβάσεις τελούν υπό αναστολή</w:t>
      </w:r>
      <w:r w:rsidR="00446278">
        <w:t>,</w:t>
      </w:r>
    </w:p>
    <w:p w:rsidR="007553C2" w:rsidRPr="007553C2" w:rsidRDefault="007553C2" w:rsidP="007553C2">
      <w:pPr>
        <w:ind w:left="720" w:hanging="436"/>
        <w:jc w:val="both"/>
      </w:pPr>
      <w:r>
        <w:t>-</w:t>
      </w:r>
      <w:r>
        <w:tab/>
      </w:r>
      <w:r w:rsidRPr="007553C2">
        <w:t xml:space="preserve">την αναπλήρωση μέρους της απώλειας εσόδων από ασφαλιστικές εισφορές λόγω της πανδημίας και </w:t>
      </w:r>
    </w:p>
    <w:p w:rsidR="007553C2" w:rsidRDefault="007553C2" w:rsidP="007553C2">
      <w:pPr>
        <w:ind w:left="720" w:hanging="436"/>
        <w:jc w:val="both"/>
      </w:pPr>
      <w:r>
        <w:t>-</w:t>
      </w:r>
      <w:r>
        <w:tab/>
      </w:r>
      <w:r w:rsidRPr="007553C2">
        <w:t xml:space="preserve">την επιχορήγηση προς τον </w:t>
      </w:r>
      <w:r w:rsidRPr="007553C2">
        <w:rPr>
          <w:lang w:val="en-US"/>
        </w:rPr>
        <w:t>e</w:t>
      </w:r>
      <w:r w:rsidRPr="007553C2">
        <w:t>-ΕΦΚΑ ύψους 1.400 εκατ. ευρώ για την καταβολή των αναδρομικών των συντάξεων.</w:t>
      </w:r>
    </w:p>
    <w:p w:rsidR="007553C2" w:rsidRPr="007553C2" w:rsidRDefault="007553C2" w:rsidP="007553C2">
      <w:pPr>
        <w:ind w:left="720" w:hanging="436"/>
        <w:jc w:val="both"/>
      </w:pPr>
      <w:r w:rsidRPr="007553C2">
        <w:t xml:space="preserve"> </w:t>
      </w:r>
    </w:p>
    <w:p w:rsidR="007553C2" w:rsidRDefault="007553C2" w:rsidP="007553C2">
      <w:pPr>
        <w:jc w:val="both"/>
      </w:pPr>
      <w:r w:rsidRPr="007553C2">
        <w:lastRenderedPageBreak/>
        <w:t>Αντίστοιχα, οι δαπάνες εκτιμάται ότι θα αυξηθούν κατά 2.160 εκατ. ευρώ έναντι των προβλέψεων του προϋπολογισμού.</w:t>
      </w:r>
      <w:r>
        <w:t xml:space="preserve"> </w:t>
      </w:r>
      <w:r w:rsidRPr="007553C2">
        <w:t>Ειδικότερα:</w:t>
      </w:r>
    </w:p>
    <w:p w:rsidR="007553C2" w:rsidRPr="007553C2" w:rsidRDefault="007553C2" w:rsidP="007553C2">
      <w:pPr>
        <w:jc w:val="both"/>
      </w:pPr>
    </w:p>
    <w:p w:rsidR="007553C2" w:rsidRPr="007553C2" w:rsidRDefault="007553C2" w:rsidP="007553C2">
      <w:pPr>
        <w:numPr>
          <w:ilvl w:val="0"/>
          <w:numId w:val="10"/>
        </w:numPr>
        <w:ind w:left="284" w:hanging="284"/>
        <w:jc w:val="both"/>
      </w:pPr>
      <w:r w:rsidRPr="007553C2">
        <w:t>οι μεταβιβάσεις προς τρίτους αυξάνονται κατά 1.447 εκατ. ευρώ</w:t>
      </w:r>
      <w:r w:rsidR="00443F8E">
        <w:t>,</w:t>
      </w:r>
      <w:r w:rsidRPr="007553C2">
        <w:t xml:space="preserve"> γεγονός που οφείλεται κατά κύριο λόγο στην καταβολή των αναδρομικών των συντάξεων εκτιμώμενου ύψους 1.400 εκατ. ευρώ</w:t>
      </w:r>
      <w:r w:rsidR="00446278">
        <w:t>,</w:t>
      </w:r>
      <w:r w:rsidRPr="007553C2">
        <w:t xml:space="preserve"> </w:t>
      </w:r>
    </w:p>
    <w:p w:rsidR="007553C2" w:rsidRPr="007553C2" w:rsidRDefault="007553C2" w:rsidP="007553C2">
      <w:pPr>
        <w:numPr>
          <w:ilvl w:val="0"/>
          <w:numId w:val="10"/>
        </w:numPr>
        <w:ind w:left="284" w:hanging="284"/>
        <w:jc w:val="both"/>
      </w:pPr>
      <w:r w:rsidRPr="007553C2">
        <w:t>οι κοινωνικές παροχές σε είδος (φαρμακευτική δαπάνη ΕΟΠΥΥ, δαπάνη για παρόχους υπηρεσιών υγειονομικής περίθαλψης) αυξάνονται κατά 347 εκατ. ευρώ</w:t>
      </w:r>
      <w:r w:rsidR="00446278">
        <w:t>,</w:t>
      </w:r>
      <w:r w:rsidRPr="007553C2">
        <w:t xml:space="preserve"> απεικονίζοντας την προσπάθεια για την κάλυψη της αυξημένης ζήτησης για τις εν λόγω παροχές εν μέσω πανδημίας και αυξημένων μεταναστευτικών ροών και παράλληλα για την αποφυγή δημιου</w:t>
      </w:r>
      <w:r w:rsidR="00DE0EA7">
        <w:t>ργίας ληξιπρόθεσμων υποχρεώσεων,</w:t>
      </w:r>
      <w:r w:rsidRPr="007553C2">
        <w:t xml:space="preserve"> </w:t>
      </w:r>
    </w:p>
    <w:p w:rsidR="007553C2" w:rsidRPr="007553C2" w:rsidRDefault="007553C2" w:rsidP="007553C2">
      <w:pPr>
        <w:numPr>
          <w:ilvl w:val="0"/>
          <w:numId w:val="10"/>
        </w:numPr>
        <w:ind w:left="284" w:hanging="284"/>
        <w:jc w:val="both"/>
      </w:pPr>
      <w:r w:rsidRPr="007553C2">
        <w:t xml:space="preserve">οι κοινωνικές παροχές εκτιμάται ότι θα παρουσιάσουν αύξηση κατά 388 εκατ. ευρώ, γεγονός που οφείλεται κατά κύριο λόγο: </w:t>
      </w:r>
    </w:p>
    <w:p w:rsidR="007553C2" w:rsidRPr="007553C2" w:rsidRDefault="00DE0EA7" w:rsidP="00DE0EA7">
      <w:pPr>
        <w:ind w:left="720" w:hanging="436"/>
        <w:jc w:val="both"/>
      </w:pPr>
      <w:r>
        <w:t>-</w:t>
      </w:r>
      <w:r>
        <w:tab/>
      </w:r>
      <w:r w:rsidR="007553C2" w:rsidRPr="007553C2">
        <w:t xml:space="preserve">στις αυξημένες δαπάνες, κατά 610 εκατ. ευρώ περίπου, του ΟΑΕΔ κυρίως για τη στήριξη των ανέργων εν μέσω πανδημίας, </w:t>
      </w:r>
    </w:p>
    <w:p w:rsidR="007553C2" w:rsidRPr="007553C2" w:rsidRDefault="00DE0EA7" w:rsidP="00DE0EA7">
      <w:pPr>
        <w:ind w:left="720" w:hanging="436"/>
        <w:jc w:val="both"/>
      </w:pPr>
      <w:r>
        <w:t>-</w:t>
      </w:r>
      <w:r>
        <w:tab/>
      </w:r>
      <w:r w:rsidR="007553C2" w:rsidRPr="007553C2">
        <w:t>στη μείωση της συνταξιοδοτικής δαπάνης κατά 214 εκατ. ευρώ περίπου</w:t>
      </w:r>
      <w:r w:rsidR="00446278">
        <w:t>,</w:t>
      </w:r>
      <w:r w:rsidR="007553C2" w:rsidRPr="007553C2">
        <w:t xml:space="preserve"> σε σχέση με τις προβλέψεις του προϋπολογισμού.</w:t>
      </w:r>
    </w:p>
    <w:p w:rsidR="00721AF9" w:rsidRDefault="00721AF9" w:rsidP="00721AF9">
      <w:pPr>
        <w:jc w:val="both"/>
        <w:rPr>
          <w:szCs w:val="22"/>
        </w:rPr>
      </w:pPr>
    </w:p>
    <w:p w:rsidR="00446278" w:rsidRDefault="00446278" w:rsidP="00721AF9">
      <w:pPr>
        <w:jc w:val="both"/>
        <w:rPr>
          <w:szCs w:val="22"/>
        </w:rPr>
      </w:pPr>
    </w:p>
    <w:p w:rsidR="003551D2" w:rsidRPr="00AE1EE7" w:rsidRDefault="003551D2" w:rsidP="003551D2">
      <w:pPr>
        <w:contextualSpacing/>
        <w:jc w:val="both"/>
        <w:rPr>
          <w:rFonts w:ascii="Arial Narrow" w:hAnsi="Arial Narrow"/>
          <w:b/>
          <w:bCs/>
          <w:color w:val="000080"/>
          <w:szCs w:val="22"/>
        </w:rPr>
      </w:pPr>
      <w:r w:rsidRPr="00A84313">
        <w:rPr>
          <w:rFonts w:ascii="Arial Narrow" w:hAnsi="Arial Narrow"/>
          <w:b/>
          <w:bCs/>
          <w:color w:val="000080"/>
          <w:szCs w:val="22"/>
        </w:rPr>
        <w:t>1.4</w:t>
      </w:r>
      <w:r w:rsidRPr="00A84313">
        <w:rPr>
          <w:rFonts w:ascii="Arial Narrow" w:hAnsi="Arial Narrow"/>
          <w:b/>
          <w:bCs/>
          <w:color w:val="000080"/>
          <w:szCs w:val="22"/>
        </w:rPr>
        <w:tab/>
      </w:r>
      <w:r w:rsidR="00AE1EE7">
        <w:rPr>
          <w:rFonts w:ascii="Arial Narrow" w:hAnsi="Arial Narrow"/>
          <w:b/>
          <w:bCs/>
          <w:color w:val="000080"/>
          <w:szCs w:val="22"/>
        </w:rPr>
        <w:t>Ληξιπρόθεσμες οφειλές της Γενικής Κυβέρνησης προς τρίτους</w:t>
      </w:r>
    </w:p>
    <w:p w:rsidR="003551D2" w:rsidRPr="004F40E8" w:rsidRDefault="003551D2" w:rsidP="003551D2">
      <w:pPr>
        <w:contextualSpacing/>
        <w:jc w:val="both"/>
        <w:rPr>
          <w:bCs/>
          <w:szCs w:val="22"/>
        </w:rPr>
      </w:pPr>
    </w:p>
    <w:p w:rsidR="00261EA1" w:rsidRPr="00261EA1" w:rsidRDefault="00261EA1" w:rsidP="00261EA1">
      <w:pPr>
        <w:jc w:val="both"/>
        <w:rPr>
          <w:bCs/>
          <w:szCs w:val="22"/>
        </w:rPr>
      </w:pPr>
      <w:r w:rsidRPr="00261EA1">
        <w:rPr>
          <w:bCs/>
          <w:szCs w:val="22"/>
        </w:rPr>
        <w:t>Η εξόφληση των ληξιπρόθεσμων υποχρεώσεων της Γενικής Κυβέρνησης προς τρίτους, η αποφυγή δημιουργίας νέων, καθώς και η θέσπιση και υλοποίηση μεταρρυθμίσεων, προκειμένου να αντιμετωπιστούν τα δομικά αίτια δημιουργίας τους, συνιστούν, στο πλαίσιο της ενισχυμένης εποπτείας</w:t>
      </w:r>
      <w:r w:rsidR="005442EE">
        <w:rPr>
          <w:rStyle w:val="FootnoteReference"/>
          <w:bCs/>
          <w:szCs w:val="22"/>
        </w:rPr>
        <w:footnoteReference w:id="23"/>
      </w:r>
      <w:r w:rsidRPr="00261EA1">
        <w:rPr>
          <w:bCs/>
          <w:szCs w:val="22"/>
        </w:rPr>
        <w:t>, τόσο αυτοτελείς στόχους όσο και επιμέρους συνιστώσες για την εξυγίανση των προϋπολογισμών των φορέων της Γενικής Κυβέρνησης (ΦΓΚ) και την ενίσχυση της ρευστότητας της οικονομίας.</w:t>
      </w:r>
    </w:p>
    <w:p w:rsidR="00261EA1" w:rsidRPr="00261EA1" w:rsidRDefault="00261EA1" w:rsidP="00261EA1">
      <w:pPr>
        <w:jc w:val="both"/>
        <w:rPr>
          <w:bCs/>
          <w:szCs w:val="22"/>
        </w:rPr>
      </w:pPr>
    </w:p>
    <w:p w:rsidR="00261EA1" w:rsidRPr="00261EA1" w:rsidRDefault="00261EA1" w:rsidP="00261EA1">
      <w:pPr>
        <w:jc w:val="both"/>
        <w:rPr>
          <w:bCs/>
          <w:szCs w:val="22"/>
        </w:rPr>
      </w:pPr>
      <w:r w:rsidRPr="00261EA1">
        <w:rPr>
          <w:bCs/>
          <w:szCs w:val="22"/>
        </w:rPr>
        <w:t>Για την υποβοήθηση και την ενίσχυση της αποτελεσματικότητας των ΦΓΚ ως προς την επίτευξη των ανωτέρω στόχων, συστάθηκε στο Υπουργείο Οικονομικών/Γενικό Λογιστήριο του Κράτους</w:t>
      </w:r>
      <w:r w:rsidR="007774B5">
        <w:rPr>
          <w:bCs/>
          <w:szCs w:val="22"/>
        </w:rPr>
        <w:t>,</w:t>
      </w:r>
      <w:r w:rsidRPr="00261EA1">
        <w:rPr>
          <w:bCs/>
          <w:szCs w:val="22"/>
        </w:rPr>
        <w:t xml:space="preserve"> ήδη από τα τέλη του 2019</w:t>
      </w:r>
      <w:r w:rsidRPr="00261EA1">
        <w:rPr>
          <w:bCs/>
          <w:szCs w:val="22"/>
          <w:vertAlign w:val="superscript"/>
        </w:rPr>
        <w:footnoteReference w:id="24"/>
      </w:r>
      <w:r w:rsidR="007774B5">
        <w:rPr>
          <w:bCs/>
          <w:szCs w:val="22"/>
        </w:rPr>
        <w:t>,</w:t>
      </w:r>
      <w:r w:rsidRPr="00261EA1">
        <w:rPr>
          <w:bCs/>
          <w:szCs w:val="22"/>
        </w:rPr>
        <w:t xml:space="preserve"> Συντονιστική Επιτροπή για την παρακολούθηση της εξέλιξης και τη διαχείριση των ληξιπρόθεσμων υποχρεώσεων προς τρίτους των ΦΓΚ (εφεξής: Συντονιστική Επιτροπή).</w:t>
      </w:r>
    </w:p>
    <w:p w:rsidR="00261EA1" w:rsidRPr="00261EA1" w:rsidRDefault="00261EA1" w:rsidP="00261EA1">
      <w:pPr>
        <w:jc w:val="both"/>
        <w:rPr>
          <w:bCs/>
          <w:szCs w:val="22"/>
        </w:rPr>
      </w:pPr>
    </w:p>
    <w:p w:rsidR="00261EA1" w:rsidRPr="00261EA1" w:rsidRDefault="00261EA1" w:rsidP="00261EA1">
      <w:pPr>
        <w:jc w:val="both"/>
        <w:rPr>
          <w:bCs/>
          <w:szCs w:val="22"/>
        </w:rPr>
      </w:pPr>
      <w:r w:rsidRPr="00261EA1">
        <w:rPr>
          <w:bCs/>
          <w:szCs w:val="22"/>
        </w:rPr>
        <w:t xml:space="preserve">Στο πλαίσιο του έργου της Συντονιστικής Επιτροπής, υιοθετήθηκε τον Οκτώβριο του 2019 ένα ευρύ σχέδιο δράσης για την εκκαθάριση των ληξιπρόθεσμων υποχρεώσεων των ΦΓΚ, το οποίο περιλαμβάνει οριζόντιες και τομεακές δράσεις, καθώς και </w:t>
      </w:r>
      <w:proofErr w:type="spellStart"/>
      <w:r w:rsidRPr="00261EA1">
        <w:rPr>
          <w:bCs/>
          <w:szCs w:val="22"/>
        </w:rPr>
        <w:t>ποσοτικοποιημένους</w:t>
      </w:r>
      <w:proofErr w:type="spellEnd"/>
      <w:r w:rsidRPr="00261EA1">
        <w:rPr>
          <w:bCs/>
          <w:szCs w:val="22"/>
        </w:rPr>
        <w:t xml:space="preserve"> στόχους ανά υποτομέα ή ΦΓΚ. Σύμφωνα με το εν λόγω σχέδιο, το ύψος των ληξιπρόθεσμων υποχρεώσεων σε καθαρή βάση</w:t>
      </w:r>
      <w:r w:rsidRPr="00261EA1">
        <w:rPr>
          <w:bCs/>
          <w:szCs w:val="22"/>
          <w:vertAlign w:val="superscript"/>
        </w:rPr>
        <w:footnoteReference w:id="25"/>
      </w:r>
      <w:r w:rsidRPr="00261EA1">
        <w:rPr>
          <w:bCs/>
          <w:szCs w:val="22"/>
        </w:rPr>
        <w:t xml:space="preserve"> των ΦΓΚ προς τρίτους</w:t>
      </w:r>
      <w:r w:rsidR="00E84072">
        <w:rPr>
          <w:bCs/>
          <w:szCs w:val="22"/>
        </w:rPr>
        <w:t>,</w:t>
      </w:r>
      <w:r w:rsidRPr="00261EA1">
        <w:rPr>
          <w:bCs/>
          <w:szCs w:val="22"/>
        </w:rPr>
        <w:t xml:space="preserve"> το ύψος των εκκρεμών επιστροφών φόρων </w:t>
      </w:r>
      <w:r w:rsidR="00E84072">
        <w:rPr>
          <w:bCs/>
          <w:szCs w:val="22"/>
        </w:rPr>
        <w:t xml:space="preserve">και των εκκρεμών αιτήσεων συνταξιοδότησης </w:t>
      </w:r>
      <w:r w:rsidRPr="00261EA1">
        <w:rPr>
          <w:bCs/>
          <w:szCs w:val="22"/>
        </w:rPr>
        <w:t>θα πρέπει να έχ</w:t>
      </w:r>
      <w:r w:rsidR="001C4333">
        <w:rPr>
          <w:bCs/>
          <w:szCs w:val="22"/>
        </w:rPr>
        <w:t>ουν</w:t>
      </w:r>
      <w:r w:rsidRPr="00261EA1">
        <w:rPr>
          <w:bCs/>
          <w:szCs w:val="22"/>
        </w:rPr>
        <w:t xml:space="preserve"> ελαχιστοποιηθεί μέχρι τα μέσα του 2021.</w:t>
      </w:r>
    </w:p>
    <w:p w:rsidR="00261EA1" w:rsidRPr="00261EA1" w:rsidRDefault="00261EA1" w:rsidP="00261EA1">
      <w:pPr>
        <w:jc w:val="both"/>
        <w:rPr>
          <w:bCs/>
          <w:szCs w:val="22"/>
        </w:rPr>
      </w:pPr>
    </w:p>
    <w:p w:rsidR="00261EA1" w:rsidRPr="00261EA1" w:rsidRDefault="00261EA1" w:rsidP="00261EA1">
      <w:pPr>
        <w:jc w:val="both"/>
        <w:rPr>
          <w:bCs/>
          <w:szCs w:val="22"/>
        </w:rPr>
      </w:pPr>
      <w:r w:rsidRPr="00261EA1">
        <w:rPr>
          <w:bCs/>
          <w:szCs w:val="22"/>
        </w:rPr>
        <w:lastRenderedPageBreak/>
        <w:t xml:space="preserve">Ωστόσο, η υλοποίηση του προαναφερόμενου σχεδίου δράσης επηρεάστηκε αρνητικά, ιδίως σε όρους χρόνου και ποσών αποπληρωμής, λόγω της </w:t>
      </w:r>
      <w:proofErr w:type="spellStart"/>
      <w:r w:rsidRPr="00261EA1">
        <w:rPr>
          <w:bCs/>
          <w:szCs w:val="22"/>
        </w:rPr>
        <w:t>ενσκήψασας</w:t>
      </w:r>
      <w:proofErr w:type="spellEnd"/>
      <w:r w:rsidRPr="00261EA1">
        <w:rPr>
          <w:bCs/>
          <w:szCs w:val="22"/>
        </w:rPr>
        <w:t xml:space="preserve"> υγειονομικής κρίσης και των μέτρων που υιοθετήθηκαν για την ανάσχεση της πανδημίας. Ειδικότερα, τα μέτρα απαγόρευσης κυκλοφορίας (</w:t>
      </w:r>
      <w:r w:rsidRPr="00261EA1">
        <w:rPr>
          <w:bCs/>
          <w:szCs w:val="22"/>
          <w:lang w:val="en-US"/>
        </w:rPr>
        <w:t>lockdown</w:t>
      </w:r>
      <w:r w:rsidRPr="00261EA1">
        <w:rPr>
          <w:bCs/>
          <w:szCs w:val="22"/>
        </w:rPr>
        <w:t>) κατά το β΄ κυρίως τρίμηνο του 2020 είχαν ως αποτέλεσμα σημαντικές καθυστερήσεις στις διαδικασίες εκκαθάρισης και πληρωμής των υποχρεώσεων των ΦΓΚ, μεταξύ άλλων και λόγω του μειωμένου αριθμού του απασχολούμενου προσωπικού τόσο στο Δημόσιο όσο και στον ιδιωτικό τομέα.</w:t>
      </w:r>
    </w:p>
    <w:p w:rsidR="00E7562B" w:rsidRDefault="00E7562B" w:rsidP="00261EA1">
      <w:pPr>
        <w:jc w:val="both"/>
        <w:rPr>
          <w:bCs/>
          <w:szCs w:val="22"/>
        </w:rPr>
      </w:pPr>
    </w:p>
    <w:p w:rsidR="00261EA1" w:rsidRPr="00261EA1" w:rsidRDefault="00261EA1" w:rsidP="00261EA1">
      <w:pPr>
        <w:jc w:val="both"/>
        <w:rPr>
          <w:bCs/>
          <w:szCs w:val="22"/>
        </w:rPr>
      </w:pPr>
      <w:r w:rsidRPr="00261EA1">
        <w:rPr>
          <w:bCs/>
          <w:szCs w:val="22"/>
        </w:rPr>
        <w:t xml:space="preserve">Προς τον σκοπό αυτό οι φορείς έχουν υιοθετήσει κατά περίπτωση μέτρα για την όσο το δυνατόν ταχύτερη και αποτελεσματικότερη </w:t>
      </w:r>
      <w:proofErr w:type="spellStart"/>
      <w:r w:rsidRPr="00261EA1">
        <w:rPr>
          <w:bCs/>
          <w:szCs w:val="22"/>
        </w:rPr>
        <w:t>απομείωση</w:t>
      </w:r>
      <w:proofErr w:type="spellEnd"/>
      <w:r w:rsidRPr="00261EA1">
        <w:rPr>
          <w:bCs/>
          <w:szCs w:val="22"/>
        </w:rPr>
        <w:t xml:space="preserve"> των συσσωρευμένων ληξιπρόθεσμων υποχρεώσεών τους που ενδεικτικά παρατίθενται στη συνέχεια:</w:t>
      </w:r>
    </w:p>
    <w:p w:rsidR="00E7562B" w:rsidRPr="00E7562B" w:rsidRDefault="00E7562B" w:rsidP="00E7562B">
      <w:pPr>
        <w:jc w:val="both"/>
        <w:rPr>
          <w:bCs/>
          <w:szCs w:val="22"/>
        </w:rPr>
      </w:pPr>
      <w:bookmarkStart w:id="4" w:name="_Toc45098220"/>
    </w:p>
    <w:p w:rsidR="00261EA1" w:rsidRPr="00E7562B" w:rsidRDefault="00261EA1" w:rsidP="00FE7E83">
      <w:pPr>
        <w:numPr>
          <w:ilvl w:val="0"/>
          <w:numId w:val="3"/>
        </w:numPr>
        <w:jc w:val="both"/>
        <w:rPr>
          <w:rFonts w:ascii="Arial Narrow" w:hAnsi="Arial Narrow"/>
          <w:b/>
          <w:bCs/>
          <w:iCs/>
          <w:color w:val="1F497D"/>
          <w:sz w:val="22"/>
          <w:szCs w:val="22"/>
          <w:lang w:bidi="en-US"/>
        </w:rPr>
      </w:pPr>
      <w:r w:rsidRPr="00E7562B">
        <w:rPr>
          <w:rFonts w:ascii="Arial Narrow" w:hAnsi="Arial Narrow"/>
          <w:b/>
          <w:bCs/>
          <w:color w:val="1F497D"/>
          <w:szCs w:val="22"/>
        </w:rPr>
        <w:t>Οργανισμοί Τοπικής Αυτοδιοίκησης (ΟΤΑ)</w:t>
      </w:r>
      <w:bookmarkEnd w:id="4"/>
    </w:p>
    <w:p w:rsidR="00E7562B" w:rsidRDefault="00E7562B" w:rsidP="00261EA1">
      <w:pPr>
        <w:jc w:val="both"/>
        <w:rPr>
          <w:bCs/>
          <w:szCs w:val="22"/>
        </w:rPr>
      </w:pPr>
    </w:p>
    <w:p w:rsidR="00261EA1" w:rsidRPr="00261EA1" w:rsidRDefault="00261EA1" w:rsidP="00261EA1">
      <w:pPr>
        <w:jc w:val="both"/>
        <w:rPr>
          <w:bCs/>
          <w:szCs w:val="22"/>
        </w:rPr>
      </w:pPr>
      <w:r w:rsidRPr="00261EA1">
        <w:rPr>
          <w:bCs/>
          <w:szCs w:val="22"/>
        </w:rPr>
        <w:t>Οι ληξιπρόθεσμες υποχρεώσεις των ΟΤΑ προς τρίτους ανήλθαν τον μήνα Ιούλιο στο ποσό των 255 εκ</w:t>
      </w:r>
      <w:r w:rsidR="003F4657">
        <w:rPr>
          <w:bCs/>
          <w:szCs w:val="22"/>
        </w:rPr>
        <w:t>ατ</w:t>
      </w:r>
      <w:r w:rsidRPr="00261EA1">
        <w:rPr>
          <w:bCs/>
          <w:szCs w:val="22"/>
        </w:rPr>
        <w:t>. ευρώ και αφαιρουμένων των προσαρμογών σε 218 εκ</w:t>
      </w:r>
      <w:r w:rsidR="003F4657">
        <w:rPr>
          <w:bCs/>
          <w:szCs w:val="22"/>
        </w:rPr>
        <w:t>ατ</w:t>
      </w:r>
      <w:r w:rsidRPr="00261EA1">
        <w:rPr>
          <w:bCs/>
          <w:szCs w:val="22"/>
        </w:rPr>
        <w:t>. ευρώ.</w:t>
      </w:r>
    </w:p>
    <w:p w:rsidR="00E7562B" w:rsidRDefault="00E7562B" w:rsidP="00261EA1">
      <w:pPr>
        <w:jc w:val="both"/>
        <w:rPr>
          <w:bCs/>
          <w:szCs w:val="22"/>
        </w:rPr>
      </w:pPr>
    </w:p>
    <w:p w:rsidR="00261EA1" w:rsidRDefault="00261EA1" w:rsidP="00261EA1">
      <w:pPr>
        <w:jc w:val="both"/>
        <w:rPr>
          <w:bCs/>
          <w:szCs w:val="22"/>
        </w:rPr>
      </w:pPr>
      <w:r w:rsidRPr="00261EA1">
        <w:rPr>
          <w:bCs/>
          <w:szCs w:val="22"/>
        </w:rPr>
        <w:t>Για την ταχεία εκκαθάριση και αποπληρωμή τους, τα Υπουργεία Οικονομικών και Εσωτερικών συμφώνησαν στην υλοποίηση, μέχρι τα τέλη Νοεμβρίου 2020, προγράμματος ενίσχυσης των ΟΤΑ από τον Κρατικό Προϋπολογισμό, που θα ανέρχεται μέχρι του ποσού των 120 εκ</w:t>
      </w:r>
      <w:r w:rsidR="003F4657">
        <w:rPr>
          <w:bCs/>
          <w:szCs w:val="22"/>
        </w:rPr>
        <w:t>ατ</w:t>
      </w:r>
      <w:r w:rsidRPr="00261EA1">
        <w:rPr>
          <w:bCs/>
          <w:szCs w:val="22"/>
        </w:rPr>
        <w:t>. ευρώ</w:t>
      </w:r>
      <w:r w:rsidRPr="00261EA1">
        <w:rPr>
          <w:bCs/>
          <w:szCs w:val="22"/>
          <w:vertAlign w:val="superscript"/>
        </w:rPr>
        <w:footnoteReference w:id="26"/>
      </w:r>
      <w:r w:rsidRPr="00261EA1">
        <w:rPr>
          <w:bCs/>
          <w:szCs w:val="22"/>
        </w:rPr>
        <w:t>. Επιπρόσθετα και για την αποτροπή δημιουργίας ληξιπρόθεσμων οφειλών των ΟΤΑ στο μέλλον, προωθήθηκε νομοθετική ρύθμιση, η οποία προβλέπει την υποχρέωση δέσμευσης από τους ΟΤΑ ποσού ταμειακών διαθεσίμων ίσου με το σύνολο των ληξιπρόθεσμων οφειλών τους σε τρίτους σε ειδικό λογαριασμό που θα τηρείται ανά φορέα στο Ταμείο Παρακαταθηκών και Δανείων</w:t>
      </w:r>
      <w:r w:rsidRPr="00261EA1">
        <w:rPr>
          <w:bCs/>
          <w:szCs w:val="22"/>
          <w:vertAlign w:val="superscript"/>
        </w:rPr>
        <w:footnoteReference w:id="27"/>
      </w:r>
      <w:r w:rsidRPr="00261EA1">
        <w:rPr>
          <w:bCs/>
          <w:szCs w:val="22"/>
        </w:rPr>
        <w:t>.</w:t>
      </w:r>
      <w:bookmarkStart w:id="5" w:name="_Toc45098218"/>
    </w:p>
    <w:p w:rsidR="00E7562B" w:rsidRPr="00261EA1" w:rsidRDefault="00E7562B" w:rsidP="00261EA1">
      <w:pPr>
        <w:jc w:val="both"/>
        <w:rPr>
          <w:bCs/>
          <w:szCs w:val="22"/>
        </w:rPr>
      </w:pPr>
    </w:p>
    <w:p w:rsidR="00261EA1" w:rsidRPr="00E7562B" w:rsidRDefault="00261EA1" w:rsidP="00FE7E83">
      <w:pPr>
        <w:numPr>
          <w:ilvl w:val="0"/>
          <w:numId w:val="3"/>
        </w:numPr>
        <w:jc w:val="both"/>
        <w:rPr>
          <w:rFonts w:ascii="Arial Narrow" w:hAnsi="Arial Narrow"/>
          <w:b/>
          <w:bCs/>
          <w:color w:val="1F497D"/>
          <w:szCs w:val="22"/>
        </w:rPr>
      </w:pPr>
      <w:r w:rsidRPr="00E7562B">
        <w:rPr>
          <w:rFonts w:ascii="Arial Narrow" w:hAnsi="Arial Narrow"/>
          <w:b/>
          <w:bCs/>
          <w:color w:val="1F497D"/>
          <w:szCs w:val="22"/>
        </w:rPr>
        <w:t>Οργανισμοί Κοινωνικής Ασφάλισης</w:t>
      </w:r>
      <w:bookmarkEnd w:id="5"/>
      <w:r w:rsidRPr="00E7562B">
        <w:rPr>
          <w:rFonts w:ascii="Arial Narrow" w:hAnsi="Arial Narrow"/>
          <w:b/>
          <w:bCs/>
          <w:color w:val="1F497D"/>
          <w:szCs w:val="22"/>
        </w:rPr>
        <w:t xml:space="preserve"> (ΟΚΑ)</w:t>
      </w:r>
    </w:p>
    <w:p w:rsidR="00E7562B" w:rsidRDefault="00E7562B" w:rsidP="00261EA1">
      <w:pPr>
        <w:jc w:val="both"/>
        <w:rPr>
          <w:bCs/>
          <w:szCs w:val="22"/>
        </w:rPr>
      </w:pPr>
    </w:p>
    <w:p w:rsidR="00261EA1" w:rsidRPr="00261EA1" w:rsidRDefault="00261EA1" w:rsidP="00261EA1">
      <w:pPr>
        <w:jc w:val="both"/>
        <w:rPr>
          <w:bCs/>
          <w:szCs w:val="22"/>
        </w:rPr>
      </w:pPr>
      <w:r w:rsidRPr="00261EA1">
        <w:rPr>
          <w:bCs/>
          <w:szCs w:val="22"/>
        </w:rPr>
        <w:t>Το μεγαλύτερο τμήμα των ληξιπρόθεσμων υποχρεώσεων προς τρίτους προέρχεται από παλαιές οφειλές του κλάδου υγείας των τέως ΟΚΑ που εντάχθηκαν στον Εθνικό Οργανισμό Παροχής Υπηρεσιών Υγείας (ΕΟΠΥΥ). Για την αποτελεσματική εκκαθάριση και αποπληρωμή τους, ο Ηλεκτρονικός Εθνικός Φορέας Κοινωνικής Ασφάλισης (</w:t>
      </w:r>
      <w:r w:rsidRPr="00261EA1">
        <w:rPr>
          <w:bCs/>
          <w:szCs w:val="22"/>
          <w:lang w:val="en-US"/>
        </w:rPr>
        <w:t>e</w:t>
      </w:r>
      <w:r w:rsidRPr="00261EA1">
        <w:rPr>
          <w:bCs/>
          <w:szCs w:val="22"/>
        </w:rPr>
        <w:t>-ΕΦΚΑ) έθεσε σε πλήρη λειτουργία, από 25 Αυγούστου του τρέχοντος έτους, μια νέα ηλεκτρονική πλατφόρμα – μηχανισμό εκκαθάρισης και εξόφλησης των εν λόγω ληξιπρόθεσμων υποχρεώσεων</w:t>
      </w:r>
      <w:r w:rsidRPr="00261EA1">
        <w:rPr>
          <w:bCs/>
          <w:szCs w:val="22"/>
          <w:vertAlign w:val="superscript"/>
        </w:rPr>
        <w:footnoteReference w:id="28"/>
      </w:r>
      <w:r w:rsidRPr="00261EA1">
        <w:rPr>
          <w:bCs/>
          <w:szCs w:val="22"/>
        </w:rPr>
        <w:t>. Η προστιθέμενη αξία της πλατφόρμας έγκειται στο ότι διευκολύνει τον εντοπισμό οφειλών που δεν μπορούν να αποπληρωθούν για λόγους νομικούς ή διαδικαστικούς/τεχνικούς, που δεν ανάγο</w:t>
      </w:r>
      <w:r w:rsidR="007774B5">
        <w:rPr>
          <w:bCs/>
          <w:szCs w:val="22"/>
        </w:rPr>
        <w:t>νται σε υπαιτιότητα του φορέα</w:t>
      </w:r>
      <w:r w:rsidRPr="00261EA1">
        <w:rPr>
          <w:bCs/>
          <w:szCs w:val="22"/>
        </w:rPr>
        <w:t xml:space="preserve"> και κατά συνέπεια τα ποσά των οφειλών αυτών μπορούν να ενταχθούν στις αντίστοιχες κατηγορίες προσαρμογών, μειώνοντας το συνολικό ύψος των ληξιπρόθεσμων υποχρεώσεων του υποτομέα προς τρίτους. </w:t>
      </w:r>
    </w:p>
    <w:p w:rsidR="00E7562B" w:rsidRDefault="00E7562B" w:rsidP="00261EA1">
      <w:pPr>
        <w:jc w:val="both"/>
        <w:rPr>
          <w:bCs/>
          <w:szCs w:val="22"/>
        </w:rPr>
      </w:pPr>
    </w:p>
    <w:p w:rsidR="00261EA1" w:rsidRPr="00261EA1" w:rsidRDefault="00261EA1" w:rsidP="00261EA1">
      <w:pPr>
        <w:jc w:val="both"/>
        <w:rPr>
          <w:bCs/>
          <w:szCs w:val="22"/>
        </w:rPr>
      </w:pPr>
      <w:r w:rsidRPr="00261EA1">
        <w:rPr>
          <w:bCs/>
          <w:szCs w:val="22"/>
        </w:rPr>
        <w:t>Αντίστοιχη ηλεκτρονική πλατφόρμα λειτουργεί και στον ΕΟΠΥΥ.</w:t>
      </w:r>
    </w:p>
    <w:p w:rsidR="00E7562B" w:rsidRPr="00B33E41" w:rsidRDefault="00E7562B" w:rsidP="00E7562B">
      <w:pPr>
        <w:jc w:val="both"/>
        <w:rPr>
          <w:rFonts w:ascii="Arial Narrow" w:hAnsi="Arial Narrow"/>
          <w:b/>
          <w:bCs/>
          <w:color w:val="1F497D"/>
          <w:szCs w:val="22"/>
        </w:rPr>
      </w:pPr>
    </w:p>
    <w:p w:rsidR="008D2708" w:rsidRPr="00B33E41" w:rsidRDefault="008D2708" w:rsidP="00E7562B">
      <w:pPr>
        <w:jc w:val="both"/>
        <w:rPr>
          <w:rFonts w:ascii="Arial Narrow" w:hAnsi="Arial Narrow"/>
          <w:b/>
          <w:bCs/>
          <w:color w:val="1F497D"/>
          <w:szCs w:val="22"/>
        </w:rPr>
      </w:pPr>
    </w:p>
    <w:p w:rsidR="008D2708" w:rsidRPr="00B33E41" w:rsidRDefault="008D2708" w:rsidP="00E7562B">
      <w:pPr>
        <w:jc w:val="both"/>
        <w:rPr>
          <w:rFonts w:ascii="Arial Narrow" w:hAnsi="Arial Narrow"/>
          <w:b/>
          <w:bCs/>
          <w:color w:val="1F497D"/>
          <w:szCs w:val="22"/>
        </w:rPr>
      </w:pPr>
    </w:p>
    <w:p w:rsidR="00261EA1" w:rsidRPr="00E7562B" w:rsidRDefault="00261EA1" w:rsidP="00E7562B">
      <w:pPr>
        <w:jc w:val="both"/>
        <w:rPr>
          <w:rFonts w:ascii="Arial Narrow" w:hAnsi="Arial Narrow"/>
          <w:b/>
          <w:bCs/>
          <w:color w:val="1F497D"/>
          <w:szCs w:val="22"/>
        </w:rPr>
      </w:pPr>
      <w:r w:rsidRPr="00E7562B">
        <w:rPr>
          <w:rFonts w:ascii="Arial Narrow" w:hAnsi="Arial Narrow"/>
          <w:b/>
          <w:bCs/>
          <w:color w:val="1F497D"/>
          <w:szCs w:val="22"/>
        </w:rPr>
        <w:lastRenderedPageBreak/>
        <w:t>Εκκρεμείς αιτήσεις συνταξιοδότησης</w:t>
      </w:r>
      <w:bookmarkStart w:id="6" w:name="_Toc45098217"/>
      <w:bookmarkEnd w:id="6"/>
    </w:p>
    <w:p w:rsidR="00E7562B" w:rsidRDefault="00E7562B" w:rsidP="00261EA1">
      <w:pPr>
        <w:jc w:val="both"/>
        <w:rPr>
          <w:bCs/>
          <w:szCs w:val="22"/>
        </w:rPr>
      </w:pPr>
    </w:p>
    <w:p w:rsidR="00261EA1" w:rsidRPr="00261EA1" w:rsidRDefault="00261EA1" w:rsidP="00261EA1">
      <w:pPr>
        <w:jc w:val="both"/>
        <w:rPr>
          <w:bCs/>
          <w:szCs w:val="22"/>
        </w:rPr>
      </w:pPr>
      <w:r w:rsidRPr="00261EA1">
        <w:rPr>
          <w:bCs/>
          <w:szCs w:val="22"/>
        </w:rPr>
        <w:t xml:space="preserve">Πρόκειται για την κατηγορία ληξιπρόθεσμων υποχρεώσεων, στην οποία αποτυπώθηκε έντονα η επίπτωση της υγειονομικής κρίσης, καθώς επηρεάστηκε από τον περιορισμό του εμπλεκόμενου προσωπικού κατά τη διάρκεια </w:t>
      </w:r>
      <w:r w:rsidR="00E15002">
        <w:rPr>
          <w:bCs/>
          <w:szCs w:val="22"/>
        </w:rPr>
        <w:t>της απαγόρευσης κυκλοφορίας</w:t>
      </w:r>
      <w:r w:rsidRPr="00261EA1">
        <w:rPr>
          <w:bCs/>
          <w:szCs w:val="22"/>
        </w:rPr>
        <w:t>, σε συνδυασμό με το γεγονός ότι ήδη από τις αρχές του έτους είχε σημειωθεί αξιόλογη αύξηση του αριθμού των νέων αιτήσεων συνταξιοδότησης.</w:t>
      </w:r>
    </w:p>
    <w:p w:rsidR="00E7562B" w:rsidRDefault="00E7562B" w:rsidP="00261EA1">
      <w:pPr>
        <w:jc w:val="both"/>
        <w:rPr>
          <w:bCs/>
          <w:szCs w:val="22"/>
        </w:rPr>
      </w:pPr>
    </w:p>
    <w:p w:rsidR="00261EA1" w:rsidRPr="00261EA1" w:rsidRDefault="00261EA1" w:rsidP="00261EA1">
      <w:pPr>
        <w:jc w:val="both"/>
        <w:rPr>
          <w:bCs/>
          <w:szCs w:val="22"/>
        </w:rPr>
      </w:pPr>
      <w:r w:rsidRPr="00261EA1">
        <w:rPr>
          <w:bCs/>
          <w:szCs w:val="22"/>
        </w:rPr>
        <w:t xml:space="preserve">Προκειμένου να αποτραπεί η περαιτέρω σώρευση </w:t>
      </w:r>
      <w:r w:rsidR="00E15002">
        <w:rPr>
          <w:bCs/>
          <w:szCs w:val="22"/>
        </w:rPr>
        <w:t>εκκρεμών αιτήσεων συνταξιοδότησης</w:t>
      </w:r>
      <w:r w:rsidRPr="00261EA1">
        <w:rPr>
          <w:bCs/>
          <w:szCs w:val="22"/>
        </w:rPr>
        <w:t xml:space="preserve">, υιοθετήθηκαν δράσεις που αντιμετωπίζουν δομικά προβλήματα της διαδικασίας. Η βασικότερη καινοτομία αφορά στην Ηλεκτρονική Υπηρεσία Υποβολής Αίτησης Συνταξιοδότησης, η οποία παρέχει στον ενδιαφερόμενο τη δυνατότητα να υποβάλει ηλεκτρονικά αίτηση για απονομή σύνταξης εξ ίδιου δικαιώματος ή για απονομή ή μεταβίβαση λόγω θανάτου στον e-ΕΦΚΑ. </w:t>
      </w:r>
    </w:p>
    <w:p w:rsidR="00261EA1" w:rsidRPr="00261EA1" w:rsidRDefault="00261EA1" w:rsidP="00261EA1">
      <w:pPr>
        <w:jc w:val="both"/>
        <w:rPr>
          <w:bCs/>
          <w:szCs w:val="22"/>
        </w:rPr>
      </w:pPr>
      <w:r w:rsidRPr="00261EA1">
        <w:rPr>
          <w:bCs/>
          <w:szCs w:val="22"/>
        </w:rPr>
        <w:t xml:space="preserve">Επίσης, δυνάμει των οριζομένων στις διατάξεις των άρθρων 115 και 116 του ν.4714/2020 (Α΄ 148) και προς τον σκοπό αντιμετώπισης της συνεχιζόμενης σώρευσης </w:t>
      </w:r>
      <w:r w:rsidR="00E15002">
        <w:rPr>
          <w:bCs/>
          <w:szCs w:val="22"/>
        </w:rPr>
        <w:t xml:space="preserve">εκκρεμών αιτήσεων συνταξιοδότησης </w:t>
      </w:r>
      <w:r w:rsidRPr="00261EA1">
        <w:rPr>
          <w:bCs/>
          <w:szCs w:val="22"/>
        </w:rPr>
        <w:t>θεσπίστηκε αυξημένο ύψος προσωρινής σύνταξης.</w:t>
      </w:r>
    </w:p>
    <w:p w:rsidR="00261EA1" w:rsidRPr="00261EA1" w:rsidRDefault="00261EA1" w:rsidP="00261EA1">
      <w:pPr>
        <w:jc w:val="both"/>
        <w:rPr>
          <w:bCs/>
          <w:szCs w:val="22"/>
        </w:rPr>
      </w:pPr>
    </w:p>
    <w:p w:rsidR="00261EA1" w:rsidRPr="00261EA1" w:rsidRDefault="00261EA1" w:rsidP="00261EA1">
      <w:pPr>
        <w:jc w:val="both"/>
        <w:rPr>
          <w:bCs/>
          <w:szCs w:val="22"/>
        </w:rPr>
      </w:pPr>
      <w:r w:rsidRPr="00261EA1">
        <w:rPr>
          <w:bCs/>
          <w:szCs w:val="22"/>
        </w:rPr>
        <w:t xml:space="preserve">Η εξέλιξη των ληξιπρόθεσμων υποχρεώσεων της Γενικής Κυβέρνησης και των εκκρεμών επιστροφών φόρων παρατίθεται στους πίνακες </w:t>
      </w:r>
      <w:r w:rsidR="00D4290F">
        <w:rPr>
          <w:bCs/>
          <w:szCs w:val="22"/>
        </w:rPr>
        <w:t>2.3</w:t>
      </w:r>
      <w:r w:rsidRPr="00261EA1">
        <w:rPr>
          <w:bCs/>
          <w:szCs w:val="22"/>
        </w:rPr>
        <w:t xml:space="preserve"> και </w:t>
      </w:r>
      <w:r w:rsidR="00D4290F">
        <w:rPr>
          <w:bCs/>
          <w:szCs w:val="22"/>
        </w:rPr>
        <w:t>2.4</w:t>
      </w:r>
      <w:r w:rsidRPr="00261EA1">
        <w:rPr>
          <w:bCs/>
          <w:szCs w:val="22"/>
        </w:rPr>
        <w:t xml:space="preserve"> αντίστοιχα.</w:t>
      </w:r>
    </w:p>
    <w:p w:rsidR="003551D2" w:rsidRPr="004F40E8" w:rsidRDefault="003551D2" w:rsidP="003551D2">
      <w:pPr>
        <w:contextualSpacing/>
        <w:jc w:val="both"/>
        <w:rPr>
          <w:bCs/>
          <w:szCs w:val="22"/>
        </w:rPr>
      </w:pPr>
    </w:p>
    <w:tbl>
      <w:tblPr>
        <w:tblW w:w="9087" w:type="dxa"/>
        <w:tblInd w:w="94" w:type="dxa"/>
        <w:tblLayout w:type="fixed"/>
        <w:tblLook w:val="04A0" w:firstRow="1" w:lastRow="0" w:firstColumn="1" w:lastColumn="0" w:noHBand="0" w:noVBand="1"/>
      </w:tblPr>
      <w:tblGrid>
        <w:gridCol w:w="2991"/>
        <w:gridCol w:w="709"/>
        <w:gridCol w:w="709"/>
        <w:gridCol w:w="708"/>
        <w:gridCol w:w="709"/>
        <w:gridCol w:w="709"/>
        <w:gridCol w:w="709"/>
        <w:gridCol w:w="609"/>
        <w:gridCol w:w="617"/>
        <w:gridCol w:w="617"/>
      </w:tblGrid>
      <w:tr w:rsidR="009517DF" w:rsidRPr="00E06102" w:rsidTr="00305871">
        <w:trPr>
          <w:trHeight w:val="897"/>
        </w:trPr>
        <w:tc>
          <w:tcPr>
            <w:tcW w:w="9086" w:type="dxa"/>
            <w:gridSpan w:val="10"/>
            <w:tcBorders>
              <w:top w:val="single" w:sz="8" w:space="0" w:color="auto"/>
              <w:left w:val="single" w:sz="8" w:space="0" w:color="auto"/>
              <w:bottom w:val="single" w:sz="6" w:space="0" w:color="auto"/>
              <w:right w:val="single" w:sz="8" w:space="0" w:color="auto"/>
            </w:tcBorders>
          </w:tcPr>
          <w:p w:rsidR="009517DF" w:rsidRDefault="009517DF" w:rsidP="003551D2">
            <w:pPr>
              <w:jc w:val="center"/>
              <w:rPr>
                <w:rFonts w:ascii="Arial Narrow" w:hAnsi="Arial Narrow"/>
                <w:b/>
                <w:bCs/>
                <w:color w:val="000000"/>
                <w:sz w:val="22"/>
                <w:szCs w:val="22"/>
              </w:rPr>
            </w:pPr>
            <w:r w:rsidRPr="00E06102">
              <w:rPr>
                <w:rFonts w:ascii="Arial Narrow" w:hAnsi="Arial Narrow"/>
                <w:b/>
                <w:bCs/>
                <w:color w:val="000000"/>
                <w:sz w:val="22"/>
                <w:szCs w:val="22"/>
              </w:rPr>
              <w:t xml:space="preserve">Πίνακας </w:t>
            </w:r>
            <w:r w:rsidR="00D4290F">
              <w:rPr>
                <w:rFonts w:ascii="Arial Narrow" w:hAnsi="Arial Narrow"/>
                <w:b/>
                <w:bCs/>
                <w:color w:val="000000"/>
                <w:sz w:val="22"/>
                <w:szCs w:val="22"/>
              </w:rPr>
              <w:t>2.3</w:t>
            </w:r>
            <w:r w:rsidR="00CD4A6A">
              <w:rPr>
                <w:rFonts w:ascii="Arial Narrow" w:hAnsi="Arial Narrow"/>
                <w:b/>
                <w:bCs/>
                <w:color w:val="000000"/>
                <w:sz w:val="22"/>
                <w:szCs w:val="22"/>
              </w:rPr>
              <w:t xml:space="preserve">  </w:t>
            </w:r>
            <w:r w:rsidRPr="00E06102">
              <w:rPr>
                <w:rFonts w:ascii="Arial Narrow" w:hAnsi="Arial Narrow"/>
                <w:b/>
                <w:bCs/>
                <w:color w:val="000000"/>
                <w:sz w:val="22"/>
                <w:szCs w:val="22"/>
              </w:rPr>
              <w:t>Εξέλιξη ληξιπρόθεσμων υποχρεώσεων Γενικής Κυβέρνησης</w:t>
            </w:r>
            <w:r>
              <w:rPr>
                <w:rFonts w:ascii="Arial Narrow" w:hAnsi="Arial Narrow"/>
                <w:b/>
                <w:bCs/>
                <w:color w:val="000000"/>
                <w:sz w:val="22"/>
                <w:szCs w:val="22"/>
              </w:rPr>
              <w:t xml:space="preserve"> </w:t>
            </w:r>
          </w:p>
          <w:p w:rsidR="009517DF" w:rsidRPr="00E06102" w:rsidRDefault="00FE0483" w:rsidP="009517DF">
            <w:pPr>
              <w:jc w:val="center"/>
              <w:rPr>
                <w:rFonts w:ascii="Arial Narrow" w:hAnsi="Arial Narrow"/>
                <w:b/>
                <w:bCs/>
                <w:color w:val="000000"/>
                <w:sz w:val="22"/>
                <w:szCs w:val="22"/>
              </w:rPr>
            </w:pPr>
            <w:r>
              <w:rPr>
                <w:rFonts w:ascii="Arial Narrow" w:hAnsi="Arial Narrow"/>
                <w:b/>
                <w:bCs/>
                <w:color w:val="000000"/>
                <w:sz w:val="22"/>
                <w:szCs w:val="22"/>
              </w:rPr>
              <w:t>Δεκέμβριος 2018</w:t>
            </w:r>
            <w:r w:rsidR="009517DF" w:rsidRPr="00E06102">
              <w:rPr>
                <w:rFonts w:ascii="Arial Narrow" w:hAnsi="Arial Narrow"/>
                <w:b/>
                <w:bCs/>
                <w:color w:val="000000"/>
                <w:sz w:val="22"/>
                <w:szCs w:val="22"/>
              </w:rPr>
              <w:t xml:space="preserve"> - Ιούλιος 20</w:t>
            </w:r>
            <w:r>
              <w:rPr>
                <w:rFonts w:ascii="Arial Narrow" w:hAnsi="Arial Narrow"/>
                <w:b/>
                <w:bCs/>
                <w:color w:val="000000"/>
                <w:sz w:val="22"/>
                <w:szCs w:val="22"/>
              </w:rPr>
              <w:t>20</w:t>
            </w:r>
            <w:r w:rsidR="009517DF">
              <w:rPr>
                <w:rFonts w:ascii="Arial Narrow" w:hAnsi="Arial Narrow"/>
                <w:b/>
                <w:bCs/>
                <w:color w:val="000000"/>
                <w:sz w:val="22"/>
                <w:szCs w:val="22"/>
              </w:rPr>
              <w:t>*</w:t>
            </w:r>
          </w:p>
          <w:p w:rsidR="009517DF" w:rsidRPr="00E06102" w:rsidRDefault="009517DF" w:rsidP="003551D2">
            <w:pPr>
              <w:jc w:val="center"/>
              <w:rPr>
                <w:rFonts w:ascii="Arial Narrow" w:hAnsi="Arial Narrow"/>
                <w:b/>
                <w:bCs/>
                <w:color w:val="000000"/>
                <w:sz w:val="22"/>
                <w:szCs w:val="22"/>
              </w:rPr>
            </w:pPr>
            <w:r w:rsidRPr="009517DF">
              <w:rPr>
                <w:rFonts w:ascii="Arial Narrow" w:hAnsi="Arial Narrow"/>
                <w:i/>
                <w:iCs/>
                <w:color w:val="000000"/>
                <w:sz w:val="22"/>
                <w:szCs w:val="22"/>
              </w:rPr>
              <w:t>(</w:t>
            </w:r>
            <w:r w:rsidRPr="009517DF">
              <w:rPr>
                <w:rFonts w:ascii="Arial Narrow" w:hAnsi="Arial Narrow"/>
                <w:b/>
                <w:bCs/>
                <w:color w:val="000000"/>
                <w:sz w:val="22"/>
                <w:szCs w:val="22"/>
              </w:rPr>
              <w:t>σε εκατ. ευρώ)</w:t>
            </w:r>
          </w:p>
        </w:tc>
      </w:tr>
      <w:tr w:rsidR="004D7176" w:rsidRPr="00E06102" w:rsidTr="00305871">
        <w:trPr>
          <w:trHeight w:val="227"/>
        </w:trPr>
        <w:tc>
          <w:tcPr>
            <w:tcW w:w="2991" w:type="dxa"/>
            <w:vMerge w:val="restart"/>
            <w:tcBorders>
              <w:top w:val="single" w:sz="6" w:space="0" w:color="auto"/>
              <w:left w:val="single" w:sz="8" w:space="0" w:color="auto"/>
              <w:right w:val="single" w:sz="8" w:space="0" w:color="auto"/>
            </w:tcBorders>
            <w:shd w:val="clear" w:color="auto" w:fill="auto"/>
            <w:vAlign w:val="center"/>
            <w:hideMark/>
          </w:tcPr>
          <w:p w:rsidR="004D7176" w:rsidRPr="00E06102" w:rsidRDefault="004D7176" w:rsidP="003551D2">
            <w:pPr>
              <w:jc w:val="center"/>
              <w:rPr>
                <w:rFonts w:ascii="Arial Narrow" w:hAnsi="Arial Narrow"/>
                <w:b/>
                <w:bCs/>
                <w:color w:val="000000"/>
                <w:sz w:val="16"/>
                <w:szCs w:val="16"/>
              </w:rPr>
            </w:pPr>
            <w:r w:rsidRPr="00E06102">
              <w:rPr>
                <w:rFonts w:ascii="Arial Narrow" w:hAnsi="Arial Narrow"/>
                <w:b/>
                <w:bCs/>
                <w:color w:val="000000"/>
                <w:sz w:val="16"/>
                <w:szCs w:val="16"/>
              </w:rPr>
              <w:t>Φορέας Γενικής Κυβέρνησης</w:t>
            </w:r>
          </w:p>
        </w:tc>
        <w:tc>
          <w:tcPr>
            <w:tcW w:w="709" w:type="dxa"/>
            <w:tcBorders>
              <w:top w:val="single" w:sz="6" w:space="0" w:color="auto"/>
              <w:left w:val="single" w:sz="8" w:space="0" w:color="auto"/>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sidRPr="00E06102">
              <w:rPr>
                <w:rFonts w:ascii="Arial Narrow" w:hAnsi="Arial Narrow"/>
                <w:b/>
                <w:bCs/>
                <w:color w:val="000000"/>
                <w:sz w:val="16"/>
                <w:szCs w:val="16"/>
              </w:rPr>
              <w:t>Δεκ.</w:t>
            </w:r>
          </w:p>
        </w:tc>
        <w:tc>
          <w:tcPr>
            <w:tcW w:w="709" w:type="dxa"/>
            <w:tcBorders>
              <w:top w:val="single" w:sz="6" w:space="0" w:color="auto"/>
              <w:left w:val="nil"/>
              <w:bottom w:val="nil"/>
              <w:right w:val="single" w:sz="8" w:space="0" w:color="auto"/>
            </w:tcBorders>
            <w:vAlign w:val="bottom"/>
          </w:tcPr>
          <w:p w:rsidR="004D7176" w:rsidRPr="00E06102" w:rsidRDefault="004D7176" w:rsidP="003551D2">
            <w:pPr>
              <w:jc w:val="center"/>
              <w:rPr>
                <w:rFonts w:ascii="Arial Narrow" w:hAnsi="Arial Narrow"/>
                <w:b/>
                <w:bCs/>
                <w:color w:val="000000"/>
                <w:sz w:val="16"/>
                <w:szCs w:val="16"/>
              </w:rPr>
            </w:pPr>
            <w:r w:rsidRPr="00E06102">
              <w:rPr>
                <w:rFonts w:ascii="Arial Narrow" w:hAnsi="Arial Narrow"/>
                <w:b/>
                <w:bCs/>
                <w:color w:val="000000"/>
                <w:sz w:val="16"/>
                <w:szCs w:val="16"/>
              </w:rPr>
              <w:t>Δεκ.</w:t>
            </w:r>
          </w:p>
        </w:tc>
        <w:tc>
          <w:tcPr>
            <w:tcW w:w="708" w:type="dxa"/>
            <w:tcBorders>
              <w:top w:val="single" w:sz="6" w:space="0" w:color="auto"/>
              <w:left w:val="single" w:sz="8" w:space="0" w:color="auto"/>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sidRPr="00E06102">
              <w:rPr>
                <w:rFonts w:ascii="Arial Narrow" w:hAnsi="Arial Narrow"/>
                <w:b/>
                <w:bCs/>
                <w:color w:val="000000"/>
                <w:sz w:val="16"/>
                <w:szCs w:val="16"/>
              </w:rPr>
              <w:t>Ιαν.</w:t>
            </w:r>
          </w:p>
        </w:tc>
        <w:tc>
          <w:tcPr>
            <w:tcW w:w="709" w:type="dxa"/>
            <w:tcBorders>
              <w:top w:val="single" w:sz="6" w:space="0" w:color="auto"/>
              <w:left w:val="nil"/>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Φεβρ</w:t>
            </w:r>
            <w:proofErr w:type="spellEnd"/>
            <w:r w:rsidRPr="00E06102">
              <w:rPr>
                <w:rFonts w:ascii="Arial Narrow" w:hAnsi="Arial Narrow"/>
                <w:b/>
                <w:bCs/>
                <w:color w:val="000000"/>
                <w:sz w:val="16"/>
                <w:szCs w:val="16"/>
              </w:rPr>
              <w:t>.</w:t>
            </w:r>
          </w:p>
        </w:tc>
        <w:tc>
          <w:tcPr>
            <w:tcW w:w="709" w:type="dxa"/>
            <w:tcBorders>
              <w:top w:val="single" w:sz="6" w:space="0" w:color="auto"/>
              <w:left w:val="nil"/>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Μάρτ</w:t>
            </w:r>
            <w:proofErr w:type="spellEnd"/>
            <w:r w:rsidRPr="00E06102">
              <w:rPr>
                <w:rFonts w:ascii="Arial Narrow" w:hAnsi="Arial Narrow"/>
                <w:b/>
                <w:bCs/>
                <w:color w:val="000000"/>
                <w:sz w:val="16"/>
                <w:szCs w:val="16"/>
              </w:rPr>
              <w:t>.</w:t>
            </w:r>
          </w:p>
        </w:tc>
        <w:tc>
          <w:tcPr>
            <w:tcW w:w="709" w:type="dxa"/>
            <w:tcBorders>
              <w:top w:val="single" w:sz="6" w:space="0" w:color="auto"/>
              <w:left w:val="nil"/>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sidRPr="00E06102">
              <w:rPr>
                <w:rFonts w:ascii="Arial Narrow" w:hAnsi="Arial Narrow"/>
                <w:b/>
                <w:bCs/>
                <w:color w:val="000000"/>
                <w:sz w:val="16"/>
                <w:szCs w:val="16"/>
              </w:rPr>
              <w:t>Απρ.</w:t>
            </w:r>
          </w:p>
        </w:tc>
        <w:tc>
          <w:tcPr>
            <w:tcW w:w="609" w:type="dxa"/>
            <w:tcBorders>
              <w:top w:val="single" w:sz="6" w:space="0" w:color="auto"/>
              <w:left w:val="nil"/>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sidRPr="00E06102">
              <w:rPr>
                <w:rFonts w:ascii="Arial Narrow" w:hAnsi="Arial Narrow"/>
                <w:b/>
                <w:bCs/>
                <w:color w:val="000000"/>
                <w:sz w:val="16"/>
                <w:szCs w:val="16"/>
              </w:rPr>
              <w:t>Μάιος</w:t>
            </w:r>
          </w:p>
        </w:tc>
        <w:tc>
          <w:tcPr>
            <w:tcW w:w="617" w:type="dxa"/>
            <w:tcBorders>
              <w:top w:val="single" w:sz="6" w:space="0" w:color="auto"/>
              <w:left w:val="nil"/>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Ιούν</w:t>
            </w:r>
            <w:proofErr w:type="spellEnd"/>
            <w:r>
              <w:rPr>
                <w:rFonts w:ascii="Arial Narrow" w:hAnsi="Arial Narrow"/>
                <w:b/>
                <w:bCs/>
                <w:color w:val="000000"/>
                <w:sz w:val="16"/>
                <w:szCs w:val="16"/>
              </w:rPr>
              <w:t>.</w:t>
            </w:r>
          </w:p>
        </w:tc>
        <w:tc>
          <w:tcPr>
            <w:tcW w:w="617" w:type="dxa"/>
            <w:tcBorders>
              <w:top w:val="single" w:sz="6" w:space="0" w:color="auto"/>
              <w:left w:val="nil"/>
              <w:bottom w:val="nil"/>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Ιούλ</w:t>
            </w:r>
            <w:proofErr w:type="spellEnd"/>
            <w:r>
              <w:rPr>
                <w:rFonts w:ascii="Arial Narrow" w:hAnsi="Arial Narrow"/>
                <w:b/>
                <w:bCs/>
                <w:color w:val="000000"/>
                <w:sz w:val="16"/>
                <w:szCs w:val="16"/>
              </w:rPr>
              <w:t>.</w:t>
            </w:r>
          </w:p>
        </w:tc>
      </w:tr>
      <w:tr w:rsidR="004D7176" w:rsidRPr="00E06102" w:rsidTr="00305871">
        <w:trPr>
          <w:trHeight w:val="227"/>
        </w:trPr>
        <w:tc>
          <w:tcPr>
            <w:tcW w:w="2991" w:type="dxa"/>
            <w:vMerge/>
            <w:tcBorders>
              <w:left w:val="single" w:sz="8" w:space="0" w:color="auto"/>
              <w:bottom w:val="single" w:sz="8" w:space="0" w:color="000000"/>
              <w:right w:val="single" w:sz="8" w:space="0" w:color="auto"/>
            </w:tcBorders>
            <w:vAlign w:val="center"/>
            <w:hideMark/>
          </w:tcPr>
          <w:p w:rsidR="004D7176" w:rsidRPr="00E06102" w:rsidRDefault="004D7176" w:rsidP="003551D2">
            <w:pPr>
              <w:jc w:val="center"/>
              <w:rPr>
                <w:rFonts w:ascii="Arial Narrow" w:hAnsi="Arial Narrow"/>
                <w:b/>
                <w:bCs/>
                <w:color w:val="000000"/>
                <w:sz w:val="16"/>
                <w:szCs w:val="16"/>
              </w:rPr>
            </w:pP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2018</w:t>
            </w:r>
          </w:p>
        </w:tc>
        <w:tc>
          <w:tcPr>
            <w:tcW w:w="709" w:type="dxa"/>
            <w:tcBorders>
              <w:top w:val="nil"/>
              <w:left w:val="nil"/>
              <w:bottom w:val="single" w:sz="8" w:space="0" w:color="auto"/>
              <w:right w:val="single" w:sz="8" w:space="0" w:color="auto"/>
            </w:tcBorders>
            <w:vAlign w:val="bottom"/>
          </w:tcPr>
          <w:p w:rsidR="004D7176" w:rsidRPr="00E06102" w:rsidRDefault="004D7176" w:rsidP="003551D2">
            <w:pPr>
              <w:jc w:val="center"/>
              <w:rPr>
                <w:rFonts w:ascii="Arial Narrow" w:hAnsi="Arial Narrow"/>
                <w:b/>
                <w:bCs/>
                <w:color w:val="000000"/>
                <w:sz w:val="16"/>
                <w:szCs w:val="16"/>
              </w:rPr>
            </w:pPr>
            <w:r w:rsidRPr="00E06102">
              <w:rPr>
                <w:rFonts w:ascii="Arial Narrow" w:hAnsi="Arial Narrow"/>
                <w:b/>
                <w:bCs/>
                <w:color w:val="000000"/>
                <w:sz w:val="16"/>
                <w:szCs w:val="16"/>
              </w:rPr>
              <w:t>201</w:t>
            </w:r>
            <w:r>
              <w:rPr>
                <w:rFonts w:ascii="Arial Narrow" w:hAnsi="Arial Narrow"/>
                <w:b/>
                <w:bCs/>
                <w:color w:val="000000"/>
                <w:sz w:val="16"/>
                <w:szCs w:val="16"/>
              </w:rPr>
              <w:t>9</w:t>
            </w:r>
          </w:p>
        </w:tc>
        <w:tc>
          <w:tcPr>
            <w:tcW w:w="708" w:type="dxa"/>
            <w:tcBorders>
              <w:top w:val="nil"/>
              <w:left w:val="single" w:sz="8" w:space="0" w:color="auto"/>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709" w:type="dxa"/>
            <w:tcBorders>
              <w:top w:val="nil"/>
              <w:left w:val="nil"/>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709" w:type="dxa"/>
            <w:tcBorders>
              <w:top w:val="nil"/>
              <w:left w:val="nil"/>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709" w:type="dxa"/>
            <w:tcBorders>
              <w:top w:val="nil"/>
              <w:left w:val="nil"/>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609" w:type="dxa"/>
            <w:tcBorders>
              <w:top w:val="nil"/>
              <w:left w:val="nil"/>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617" w:type="dxa"/>
            <w:tcBorders>
              <w:top w:val="nil"/>
              <w:left w:val="nil"/>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617" w:type="dxa"/>
            <w:tcBorders>
              <w:top w:val="nil"/>
              <w:left w:val="nil"/>
              <w:bottom w:val="single" w:sz="8" w:space="0" w:color="auto"/>
              <w:right w:val="single" w:sz="8" w:space="0" w:color="auto"/>
            </w:tcBorders>
            <w:shd w:val="clear" w:color="auto" w:fill="auto"/>
            <w:vAlign w:val="bottom"/>
            <w:hideMark/>
          </w:tcPr>
          <w:p w:rsidR="004D7176" w:rsidRPr="00E06102" w:rsidRDefault="004D7176" w:rsidP="003551D2">
            <w:pPr>
              <w:jc w:val="center"/>
              <w:rPr>
                <w:rFonts w:ascii="Arial Narrow" w:hAnsi="Arial Narrow"/>
                <w:b/>
                <w:bCs/>
                <w:color w:val="000000"/>
                <w:sz w:val="16"/>
                <w:szCs w:val="16"/>
              </w:rPr>
            </w:pPr>
            <w:r>
              <w:rPr>
                <w:rFonts w:ascii="Arial Narrow" w:hAnsi="Arial Narrow"/>
                <w:b/>
                <w:bCs/>
                <w:color w:val="000000"/>
                <w:sz w:val="16"/>
                <w:szCs w:val="16"/>
              </w:rPr>
              <w:t>2020</w:t>
            </w:r>
          </w:p>
        </w:tc>
      </w:tr>
      <w:tr w:rsidR="00305871" w:rsidRPr="00E06102" w:rsidTr="00305871">
        <w:trPr>
          <w:trHeight w:val="227"/>
        </w:trPr>
        <w:tc>
          <w:tcPr>
            <w:tcW w:w="2991" w:type="dxa"/>
            <w:tcBorders>
              <w:top w:val="nil"/>
              <w:left w:val="single" w:sz="8" w:space="0" w:color="auto"/>
              <w:bottom w:val="nil"/>
              <w:right w:val="nil"/>
            </w:tcBorders>
            <w:shd w:val="clear" w:color="auto" w:fill="auto"/>
            <w:noWrap/>
            <w:vAlign w:val="bottom"/>
            <w:hideMark/>
          </w:tcPr>
          <w:p w:rsidR="00305871" w:rsidRPr="00E06102" w:rsidRDefault="00305871" w:rsidP="004D7176">
            <w:pPr>
              <w:spacing w:before="40" w:after="40"/>
              <w:rPr>
                <w:rFonts w:ascii="Arial Narrow" w:hAnsi="Arial Narrow"/>
                <w:color w:val="000000"/>
                <w:sz w:val="16"/>
                <w:szCs w:val="16"/>
              </w:rPr>
            </w:pPr>
            <w:r w:rsidRPr="00E06102">
              <w:rPr>
                <w:rFonts w:ascii="Arial Narrow" w:hAnsi="Arial Narrow"/>
                <w:color w:val="000000"/>
                <w:sz w:val="16"/>
                <w:szCs w:val="16"/>
              </w:rPr>
              <w:t>Κράτος</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49</w:t>
            </w:r>
          </w:p>
        </w:tc>
        <w:tc>
          <w:tcPr>
            <w:tcW w:w="709" w:type="dxa"/>
            <w:tcBorders>
              <w:top w:val="nil"/>
              <w:left w:val="nil"/>
              <w:bottom w:val="nil"/>
              <w:right w:val="nil"/>
            </w:tcBorders>
            <w:vAlign w:val="bottom"/>
          </w:tcPr>
          <w:p w:rsidR="00305871" w:rsidRPr="0004235F" w:rsidRDefault="00305871" w:rsidP="00305871">
            <w:pPr>
              <w:ind w:left="-311" w:right="57" w:firstLine="311"/>
              <w:jc w:val="right"/>
              <w:rPr>
                <w:rFonts w:ascii="Arial Narrow" w:hAnsi="Arial Narrow"/>
                <w:color w:val="000000"/>
                <w:sz w:val="16"/>
                <w:szCs w:val="16"/>
              </w:rPr>
            </w:pPr>
            <w:r w:rsidRPr="0004235F">
              <w:rPr>
                <w:rFonts w:ascii="Arial Narrow" w:hAnsi="Arial Narrow"/>
                <w:color w:val="000000"/>
                <w:sz w:val="16"/>
                <w:szCs w:val="16"/>
              </w:rPr>
              <w:t>55</w:t>
            </w:r>
          </w:p>
        </w:tc>
        <w:tc>
          <w:tcPr>
            <w:tcW w:w="708"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50</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50</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99</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96</w:t>
            </w:r>
          </w:p>
        </w:tc>
        <w:tc>
          <w:tcPr>
            <w:tcW w:w="6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59</w:t>
            </w:r>
          </w:p>
        </w:tc>
        <w:tc>
          <w:tcPr>
            <w:tcW w:w="617"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52</w:t>
            </w:r>
          </w:p>
        </w:tc>
        <w:tc>
          <w:tcPr>
            <w:tcW w:w="617" w:type="dxa"/>
            <w:tcBorders>
              <w:top w:val="nil"/>
              <w:left w:val="nil"/>
              <w:bottom w:val="nil"/>
              <w:right w:val="single" w:sz="8" w:space="0" w:color="auto"/>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44</w:t>
            </w:r>
          </w:p>
        </w:tc>
      </w:tr>
      <w:tr w:rsidR="00305871" w:rsidRPr="00E06102" w:rsidTr="00305871">
        <w:trPr>
          <w:trHeight w:val="227"/>
        </w:trPr>
        <w:tc>
          <w:tcPr>
            <w:tcW w:w="2991" w:type="dxa"/>
            <w:tcBorders>
              <w:top w:val="nil"/>
              <w:left w:val="single" w:sz="8" w:space="0" w:color="auto"/>
              <w:bottom w:val="nil"/>
              <w:right w:val="nil"/>
            </w:tcBorders>
            <w:shd w:val="clear" w:color="auto" w:fill="auto"/>
            <w:noWrap/>
            <w:vAlign w:val="bottom"/>
            <w:hideMark/>
          </w:tcPr>
          <w:p w:rsidR="00305871" w:rsidRPr="00E06102" w:rsidRDefault="00305871" w:rsidP="004D7176">
            <w:pPr>
              <w:spacing w:before="40" w:after="40"/>
              <w:rPr>
                <w:rFonts w:ascii="Arial Narrow" w:hAnsi="Arial Narrow"/>
                <w:color w:val="000000"/>
                <w:sz w:val="16"/>
                <w:szCs w:val="16"/>
              </w:rPr>
            </w:pPr>
            <w:r w:rsidRPr="00E06102">
              <w:rPr>
                <w:rFonts w:ascii="Arial Narrow" w:hAnsi="Arial Narrow"/>
                <w:color w:val="000000"/>
                <w:sz w:val="16"/>
                <w:szCs w:val="16"/>
              </w:rPr>
              <w:t>ΟΤΑ</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187</w:t>
            </w:r>
          </w:p>
        </w:tc>
        <w:tc>
          <w:tcPr>
            <w:tcW w:w="709" w:type="dxa"/>
            <w:tcBorders>
              <w:top w:val="nil"/>
              <w:left w:val="nil"/>
              <w:bottom w:val="nil"/>
              <w:right w:val="nil"/>
            </w:tcBorders>
            <w:vAlign w:val="bottom"/>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179</w:t>
            </w:r>
          </w:p>
        </w:tc>
        <w:tc>
          <w:tcPr>
            <w:tcW w:w="708"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204</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218</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260</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259</w:t>
            </w:r>
          </w:p>
        </w:tc>
        <w:tc>
          <w:tcPr>
            <w:tcW w:w="6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276</w:t>
            </w:r>
          </w:p>
        </w:tc>
        <w:tc>
          <w:tcPr>
            <w:tcW w:w="617"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269</w:t>
            </w:r>
          </w:p>
        </w:tc>
        <w:tc>
          <w:tcPr>
            <w:tcW w:w="617" w:type="dxa"/>
            <w:tcBorders>
              <w:top w:val="nil"/>
              <w:left w:val="nil"/>
              <w:bottom w:val="nil"/>
              <w:right w:val="single" w:sz="8" w:space="0" w:color="auto"/>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255</w:t>
            </w:r>
          </w:p>
        </w:tc>
      </w:tr>
      <w:tr w:rsidR="00305871" w:rsidRPr="00E06102" w:rsidTr="00305871">
        <w:trPr>
          <w:trHeight w:val="227"/>
        </w:trPr>
        <w:tc>
          <w:tcPr>
            <w:tcW w:w="2991" w:type="dxa"/>
            <w:tcBorders>
              <w:top w:val="nil"/>
              <w:left w:val="single" w:sz="8" w:space="0" w:color="auto"/>
              <w:bottom w:val="nil"/>
              <w:right w:val="nil"/>
            </w:tcBorders>
            <w:shd w:val="clear" w:color="auto" w:fill="auto"/>
            <w:noWrap/>
            <w:vAlign w:val="bottom"/>
            <w:hideMark/>
          </w:tcPr>
          <w:p w:rsidR="00305871" w:rsidRPr="00E06102" w:rsidRDefault="00305871" w:rsidP="004D7176">
            <w:pPr>
              <w:spacing w:before="40" w:after="40"/>
              <w:rPr>
                <w:rFonts w:ascii="Arial Narrow" w:hAnsi="Arial Narrow"/>
                <w:color w:val="000000"/>
                <w:sz w:val="16"/>
                <w:szCs w:val="16"/>
              </w:rPr>
            </w:pPr>
            <w:r w:rsidRPr="00E06102">
              <w:rPr>
                <w:rFonts w:ascii="Arial Narrow" w:hAnsi="Arial Narrow"/>
                <w:color w:val="000000"/>
                <w:sz w:val="16"/>
                <w:szCs w:val="16"/>
              </w:rPr>
              <w:t>ΟΚΑ</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668</w:t>
            </w:r>
          </w:p>
        </w:tc>
        <w:tc>
          <w:tcPr>
            <w:tcW w:w="709" w:type="dxa"/>
            <w:tcBorders>
              <w:top w:val="nil"/>
              <w:left w:val="nil"/>
              <w:bottom w:val="nil"/>
              <w:right w:val="nil"/>
            </w:tcBorders>
            <w:vAlign w:val="bottom"/>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506</w:t>
            </w:r>
          </w:p>
        </w:tc>
        <w:tc>
          <w:tcPr>
            <w:tcW w:w="708"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494</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497</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484</w:t>
            </w:r>
          </w:p>
        </w:tc>
        <w:tc>
          <w:tcPr>
            <w:tcW w:w="7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486</w:t>
            </w:r>
          </w:p>
        </w:tc>
        <w:tc>
          <w:tcPr>
            <w:tcW w:w="609"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500</w:t>
            </w:r>
          </w:p>
        </w:tc>
        <w:tc>
          <w:tcPr>
            <w:tcW w:w="617" w:type="dxa"/>
            <w:tcBorders>
              <w:top w:val="nil"/>
              <w:left w:val="nil"/>
              <w:bottom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507</w:t>
            </w:r>
          </w:p>
        </w:tc>
        <w:tc>
          <w:tcPr>
            <w:tcW w:w="617" w:type="dxa"/>
            <w:tcBorders>
              <w:top w:val="nil"/>
              <w:left w:val="nil"/>
              <w:bottom w:val="nil"/>
              <w:right w:val="single" w:sz="8" w:space="0" w:color="auto"/>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448</w:t>
            </w:r>
          </w:p>
        </w:tc>
      </w:tr>
      <w:tr w:rsidR="00305871" w:rsidRPr="00E06102" w:rsidTr="00305871">
        <w:trPr>
          <w:trHeight w:val="227"/>
        </w:trPr>
        <w:tc>
          <w:tcPr>
            <w:tcW w:w="2991" w:type="dxa"/>
            <w:tcBorders>
              <w:top w:val="nil"/>
              <w:left w:val="single" w:sz="8" w:space="0" w:color="auto"/>
              <w:right w:val="nil"/>
            </w:tcBorders>
            <w:shd w:val="clear" w:color="auto" w:fill="auto"/>
            <w:noWrap/>
            <w:vAlign w:val="bottom"/>
            <w:hideMark/>
          </w:tcPr>
          <w:p w:rsidR="00305871" w:rsidRPr="00E06102" w:rsidRDefault="00305871" w:rsidP="004D7176">
            <w:pPr>
              <w:spacing w:before="40" w:after="40"/>
              <w:rPr>
                <w:rFonts w:ascii="Arial Narrow" w:hAnsi="Arial Narrow"/>
                <w:color w:val="000000"/>
                <w:sz w:val="16"/>
                <w:szCs w:val="16"/>
              </w:rPr>
            </w:pPr>
            <w:r w:rsidRPr="00E06102">
              <w:rPr>
                <w:rFonts w:ascii="Arial Narrow" w:hAnsi="Arial Narrow"/>
                <w:color w:val="000000"/>
                <w:sz w:val="16"/>
                <w:szCs w:val="16"/>
              </w:rPr>
              <w:t>Νοσοκομεία</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294</w:t>
            </w:r>
          </w:p>
        </w:tc>
        <w:tc>
          <w:tcPr>
            <w:tcW w:w="709" w:type="dxa"/>
            <w:tcBorders>
              <w:top w:val="nil"/>
              <w:left w:val="nil"/>
              <w:right w:val="nil"/>
            </w:tcBorders>
            <w:vAlign w:val="bottom"/>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344</w:t>
            </w:r>
          </w:p>
        </w:tc>
        <w:tc>
          <w:tcPr>
            <w:tcW w:w="708"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438</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553</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680</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667</w:t>
            </w:r>
          </w:p>
        </w:tc>
        <w:tc>
          <w:tcPr>
            <w:tcW w:w="6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662</w:t>
            </w:r>
          </w:p>
        </w:tc>
        <w:tc>
          <w:tcPr>
            <w:tcW w:w="617"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756</w:t>
            </w:r>
          </w:p>
        </w:tc>
        <w:tc>
          <w:tcPr>
            <w:tcW w:w="617" w:type="dxa"/>
            <w:tcBorders>
              <w:top w:val="nil"/>
              <w:left w:val="nil"/>
              <w:right w:val="single" w:sz="8" w:space="0" w:color="auto"/>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753</w:t>
            </w:r>
          </w:p>
        </w:tc>
      </w:tr>
      <w:tr w:rsidR="00305871" w:rsidRPr="00E06102" w:rsidTr="00305871">
        <w:trPr>
          <w:trHeight w:val="227"/>
        </w:trPr>
        <w:tc>
          <w:tcPr>
            <w:tcW w:w="2991" w:type="dxa"/>
            <w:tcBorders>
              <w:top w:val="nil"/>
              <w:left w:val="single" w:sz="8" w:space="0" w:color="auto"/>
              <w:right w:val="nil"/>
            </w:tcBorders>
            <w:shd w:val="clear" w:color="auto" w:fill="auto"/>
            <w:noWrap/>
            <w:vAlign w:val="bottom"/>
            <w:hideMark/>
          </w:tcPr>
          <w:p w:rsidR="00305871" w:rsidRPr="00E06102" w:rsidRDefault="00305871" w:rsidP="004D7176">
            <w:pPr>
              <w:spacing w:before="40" w:after="40"/>
              <w:rPr>
                <w:rFonts w:ascii="Arial Narrow" w:hAnsi="Arial Narrow"/>
                <w:color w:val="000000"/>
                <w:sz w:val="16"/>
                <w:szCs w:val="16"/>
              </w:rPr>
            </w:pPr>
            <w:r>
              <w:rPr>
                <w:rFonts w:ascii="Arial Narrow" w:hAnsi="Arial Narrow"/>
                <w:color w:val="000000"/>
                <w:sz w:val="16"/>
                <w:szCs w:val="16"/>
              </w:rPr>
              <w:t xml:space="preserve">Λοιπά </w:t>
            </w:r>
            <w:r w:rsidRPr="00A67833">
              <w:rPr>
                <w:rFonts w:ascii="Arial Narrow" w:hAnsi="Arial Narrow"/>
                <w:color w:val="000000"/>
                <w:sz w:val="16"/>
                <w:szCs w:val="16"/>
              </w:rPr>
              <w:t>Νομικά Πρόσωπα</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300</w:t>
            </w:r>
          </w:p>
        </w:tc>
        <w:tc>
          <w:tcPr>
            <w:tcW w:w="709" w:type="dxa"/>
            <w:tcBorders>
              <w:top w:val="nil"/>
              <w:left w:val="nil"/>
              <w:right w:val="nil"/>
            </w:tcBorders>
            <w:vAlign w:val="bottom"/>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244</w:t>
            </w:r>
          </w:p>
        </w:tc>
        <w:tc>
          <w:tcPr>
            <w:tcW w:w="708"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253</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260</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279</w:t>
            </w:r>
          </w:p>
        </w:tc>
        <w:tc>
          <w:tcPr>
            <w:tcW w:w="7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277</w:t>
            </w:r>
          </w:p>
        </w:tc>
        <w:tc>
          <w:tcPr>
            <w:tcW w:w="609"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272</w:t>
            </w:r>
          </w:p>
        </w:tc>
        <w:tc>
          <w:tcPr>
            <w:tcW w:w="617" w:type="dxa"/>
            <w:tcBorders>
              <w:top w:val="nil"/>
              <w:left w:val="nil"/>
              <w:right w:val="nil"/>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269</w:t>
            </w:r>
          </w:p>
        </w:tc>
        <w:tc>
          <w:tcPr>
            <w:tcW w:w="617" w:type="dxa"/>
            <w:tcBorders>
              <w:top w:val="nil"/>
              <w:left w:val="nil"/>
              <w:right w:val="single" w:sz="8" w:space="0" w:color="auto"/>
            </w:tcBorders>
            <w:shd w:val="clear" w:color="auto" w:fill="auto"/>
            <w:noWrap/>
            <w:vAlign w:val="bottom"/>
            <w:hideMark/>
          </w:tcPr>
          <w:p w:rsidR="00305871" w:rsidRPr="0004235F" w:rsidRDefault="00305871" w:rsidP="00305871">
            <w:pPr>
              <w:ind w:right="57"/>
              <w:jc w:val="right"/>
              <w:rPr>
                <w:rFonts w:ascii="Arial Narrow" w:hAnsi="Arial Narrow"/>
                <w:color w:val="000000"/>
                <w:sz w:val="16"/>
                <w:szCs w:val="16"/>
              </w:rPr>
            </w:pPr>
            <w:r w:rsidRPr="0004235F">
              <w:rPr>
                <w:rFonts w:ascii="Arial Narrow" w:hAnsi="Arial Narrow"/>
                <w:color w:val="000000"/>
                <w:sz w:val="16"/>
                <w:szCs w:val="16"/>
              </w:rPr>
              <w:t>208</w:t>
            </w:r>
          </w:p>
        </w:tc>
      </w:tr>
      <w:tr w:rsidR="00305871" w:rsidRPr="00E06102" w:rsidTr="00305871">
        <w:trPr>
          <w:trHeight w:val="227"/>
        </w:trPr>
        <w:tc>
          <w:tcPr>
            <w:tcW w:w="2991" w:type="dxa"/>
            <w:tcBorders>
              <w:left w:val="single" w:sz="8" w:space="0" w:color="auto"/>
              <w:bottom w:val="single" w:sz="8" w:space="0" w:color="auto"/>
              <w:right w:val="nil"/>
            </w:tcBorders>
            <w:shd w:val="pct25" w:color="000000" w:fill="FFFFFF"/>
            <w:noWrap/>
            <w:vAlign w:val="bottom"/>
            <w:hideMark/>
          </w:tcPr>
          <w:p w:rsidR="00305871" w:rsidRDefault="00305871" w:rsidP="004D7176">
            <w:pPr>
              <w:spacing w:before="40" w:after="40"/>
              <w:rPr>
                <w:rFonts w:ascii="Arial Narrow" w:hAnsi="Arial Narrow"/>
                <w:b/>
                <w:bCs/>
                <w:color w:val="000000"/>
                <w:sz w:val="16"/>
                <w:szCs w:val="16"/>
                <w:lang w:val="en-US"/>
              </w:rPr>
            </w:pPr>
            <w:r>
              <w:rPr>
                <w:rFonts w:ascii="Arial Narrow" w:hAnsi="Arial Narrow"/>
                <w:b/>
                <w:bCs/>
                <w:color w:val="000000"/>
                <w:sz w:val="16"/>
                <w:szCs w:val="16"/>
              </w:rPr>
              <w:t>Ληξιπρόθεσμες υποχρεώσεις</w:t>
            </w:r>
          </w:p>
          <w:p w:rsidR="00305871" w:rsidRPr="00E06102" w:rsidRDefault="00305871" w:rsidP="004D7176">
            <w:pPr>
              <w:spacing w:before="40" w:after="40"/>
              <w:rPr>
                <w:rFonts w:ascii="Arial Narrow" w:hAnsi="Arial Narrow"/>
                <w:b/>
                <w:bCs/>
                <w:color w:val="000000"/>
                <w:sz w:val="16"/>
                <w:szCs w:val="16"/>
              </w:rPr>
            </w:pPr>
            <w:r w:rsidRPr="00F113E2">
              <w:rPr>
                <w:rFonts w:ascii="Arial Narrow" w:hAnsi="Arial Narrow"/>
                <w:b/>
                <w:bCs/>
                <w:color w:val="000000"/>
                <w:sz w:val="16"/>
                <w:szCs w:val="16"/>
              </w:rPr>
              <w:t>Γενική</w:t>
            </w:r>
            <w:r>
              <w:rPr>
                <w:rFonts w:ascii="Arial Narrow" w:hAnsi="Arial Narrow"/>
                <w:b/>
                <w:bCs/>
                <w:color w:val="000000"/>
                <w:sz w:val="16"/>
                <w:szCs w:val="16"/>
              </w:rPr>
              <w:t>ς</w:t>
            </w:r>
            <w:r w:rsidRPr="00F113E2">
              <w:rPr>
                <w:rFonts w:ascii="Arial Narrow" w:hAnsi="Arial Narrow"/>
                <w:b/>
                <w:bCs/>
                <w:color w:val="000000"/>
                <w:sz w:val="16"/>
                <w:szCs w:val="16"/>
              </w:rPr>
              <w:t xml:space="preserve"> Κυβέρνηση</w:t>
            </w:r>
            <w:r>
              <w:rPr>
                <w:rFonts w:ascii="Arial Narrow" w:hAnsi="Arial Narrow"/>
                <w:b/>
                <w:bCs/>
                <w:color w:val="000000"/>
                <w:sz w:val="16"/>
                <w:szCs w:val="16"/>
              </w:rPr>
              <w:t>ς</w:t>
            </w:r>
          </w:p>
        </w:tc>
        <w:tc>
          <w:tcPr>
            <w:tcW w:w="709" w:type="dxa"/>
            <w:tcBorders>
              <w:left w:val="nil"/>
              <w:bottom w:val="single" w:sz="8" w:space="0" w:color="auto"/>
              <w:right w:val="nil"/>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1.498</w:t>
            </w:r>
          </w:p>
        </w:tc>
        <w:tc>
          <w:tcPr>
            <w:tcW w:w="709" w:type="dxa"/>
            <w:tcBorders>
              <w:left w:val="nil"/>
              <w:bottom w:val="single" w:sz="8" w:space="0" w:color="auto"/>
              <w:right w:val="nil"/>
            </w:tcBorders>
            <w:shd w:val="pct25" w:color="000000" w:fill="FFFFFF"/>
            <w:vAlign w:val="bottom"/>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1.329</w:t>
            </w:r>
          </w:p>
        </w:tc>
        <w:tc>
          <w:tcPr>
            <w:tcW w:w="708" w:type="dxa"/>
            <w:tcBorders>
              <w:left w:val="nil"/>
              <w:bottom w:val="single" w:sz="8" w:space="0" w:color="auto"/>
              <w:right w:val="nil"/>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1.440</w:t>
            </w:r>
          </w:p>
        </w:tc>
        <w:tc>
          <w:tcPr>
            <w:tcW w:w="709" w:type="dxa"/>
            <w:tcBorders>
              <w:left w:val="nil"/>
              <w:bottom w:val="single" w:sz="8" w:space="0" w:color="auto"/>
              <w:right w:val="nil"/>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1.578</w:t>
            </w:r>
          </w:p>
        </w:tc>
        <w:tc>
          <w:tcPr>
            <w:tcW w:w="709" w:type="dxa"/>
            <w:tcBorders>
              <w:left w:val="nil"/>
              <w:bottom w:val="single" w:sz="8" w:space="0" w:color="auto"/>
              <w:right w:val="nil"/>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1.802</w:t>
            </w:r>
          </w:p>
        </w:tc>
        <w:tc>
          <w:tcPr>
            <w:tcW w:w="709" w:type="dxa"/>
            <w:tcBorders>
              <w:left w:val="nil"/>
              <w:bottom w:val="single" w:sz="8" w:space="0" w:color="auto"/>
              <w:right w:val="nil"/>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1.785</w:t>
            </w:r>
          </w:p>
        </w:tc>
        <w:tc>
          <w:tcPr>
            <w:tcW w:w="609" w:type="dxa"/>
            <w:tcBorders>
              <w:left w:val="nil"/>
              <w:bottom w:val="single" w:sz="8" w:space="0" w:color="auto"/>
              <w:right w:val="nil"/>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1.769</w:t>
            </w:r>
          </w:p>
        </w:tc>
        <w:tc>
          <w:tcPr>
            <w:tcW w:w="617" w:type="dxa"/>
            <w:tcBorders>
              <w:left w:val="nil"/>
              <w:bottom w:val="single" w:sz="8" w:space="0" w:color="auto"/>
              <w:right w:val="nil"/>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1.853</w:t>
            </w:r>
          </w:p>
        </w:tc>
        <w:tc>
          <w:tcPr>
            <w:tcW w:w="617" w:type="dxa"/>
            <w:tcBorders>
              <w:left w:val="nil"/>
              <w:bottom w:val="single" w:sz="8" w:space="0" w:color="auto"/>
              <w:right w:val="single" w:sz="8" w:space="0" w:color="auto"/>
            </w:tcBorders>
            <w:shd w:val="pct25" w:color="000000" w:fill="FFFFFF"/>
            <w:noWrap/>
            <w:vAlign w:val="bottom"/>
            <w:hideMark/>
          </w:tcPr>
          <w:p w:rsidR="00305871" w:rsidRPr="0004235F" w:rsidRDefault="00305871" w:rsidP="00305871">
            <w:pPr>
              <w:ind w:right="57"/>
              <w:jc w:val="right"/>
              <w:rPr>
                <w:rFonts w:ascii="Arial Narrow" w:hAnsi="Arial Narrow"/>
                <w:b/>
                <w:bCs/>
                <w:color w:val="000000"/>
                <w:sz w:val="16"/>
                <w:szCs w:val="16"/>
              </w:rPr>
            </w:pPr>
            <w:r w:rsidRPr="0004235F">
              <w:rPr>
                <w:rFonts w:ascii="Arial Narrow" w:hAnsi="Arial Narrow"/>
                <w:b/>
                <w:bCs/>
                <w:color w:val="000000"/>
                <w:sz w:val="16"/>
                <w:szCs w:val="16"/>
              </w:rPr>
              <w:t>1.709</w:t>
            </w:r>
          </w:p>
        </w:tc>
      </w:tr>
    </w:tbl>
    <w:p w:rsidR="003551D2" w:rsidRPr="009517DF" w:rsidRDefault="009517DF" w:rsidP="009517DF">
      <w:pPr>
        <w:tabs>
          <w:tab w:val="left" w:pos="284"/>
        </w:tabs>
        <w:ind w:left="284" w:hanging="284"/>
        <w:contextualSpacing/>
        <w:jc w:val="both"/>
        <w:rPr>
          <w:bCs/>
          <w:szCs w:val="22"/>
        </w:rPr>
      </w:pPr>
      <w:r w:rsidRPr="009517DF">
        <w:rPr>
          <w:rFonts w:ascii="Arial Narrow" w:hAnsi="Arial Narrow"/>
          <w:bCs/>
          <w:sz w:val="18"/>
          <w:szCs w:val="18"/>
        </w:rPr>
        <w:t>*</w:t>
      </w:r>
      <w:r w:rsidRPr="009517DF">
        <w:rPr>
          <w:rFonts w:ascii="Arial Narrow" w:hAnsi="Arial Narrow"/>
          <w:bCs/>
          <w:sz w:val="18"/>
          <w:szCs w:val="18"/>
        </w:rPr>
        <w:tab/>
      </w:r>
      <w:r w:rsidR="003551D2" w:rsidRPr="009517DF">
        <w:rPr>
          <w:rFonts w:ascii="Arial Narrow" w:hAnsi="Arial Narrow"/>
          <w:bCs/>
          <w:sz w:val="18"/>
          <w:szCs w:val="18"/>
        </w:rPr>
        <w:t xml:space="preserve">Στις ληξιπρόθεσμες υποχρεώσεις των νοσοκομείων και του ΕΟΠΥΥ περιλαμβάνονται και ποσά </w:t>
      </w:r>
      <w:proofErr w:type="spellStart"/>
      <w:r w:rsidR="003551D2" w:rsidRPr="009517DF">
        <w:rPr>
          <w:rFonts w:ascii="Arial Narrow" w:hAnsi="Arial Narrow"/>
          <w:bCs/>
          <w:sz w:val="18"/>
          <w:szCs w:val="18"/>
          <w:lang w:val="en-US"/>
        </w:rPr>
        <w:t>clawback</w:t>
      </w:r>
      <w:proofErr w:type="spellEnd"/>
      <w:r w:rsidR="003551D2" w:rsidRPr="009517DF">
        <w:rPr>
          <w:rFonts w:ascii="Arial Narrow" w:hAnsi="Arial Narrow"/>
          <w:bCs/>
          <w:sz w:val="18"/>
          <w:szCs w:val="18"/>
        </w:rPr>
        <w:t xml:space="preserve"> και </w:t>
      </w:r>
      <w:r w:rsidR="003551D2" w:rsidRPr="009517DF">
        <w:rPr>
          <w:rFonts w:ascii="Arial Narrow" w:hAnsi="Arial Narrow"/>
          <w:bCs/>
          <w:sz w:val="18"/>
          <w:szCs w:val="18"/>
          <w:lang w:val="en-US"/>
        </w:rPr>
        <w:t>rebate</w:t>
      </w:r>
      <w:r w:rsidR="003551D2" w:rsidRPr="009517DF">
        <w:rPr>
          <w:rFonts w:ascii="Arial Narrow" w:hAnsi="Arial Narrow"/>
          <w:bCs/>
          <w:sz w:val="18"/>
          <w:szCs w:val="18"/>
        </w:rPr>
        <w:t xml:space="preserve"> που δεν έχουν συμψηφιστεί.</w:t>
      </w:r>
    </w:p>
    <w:p w:rsidR="00B82E15" w:rsidRDefault="00B82E15" w:rsidP="003551D2">
      <w:pPr>
        <w:contextualSpacing/>
        <w:jc w:val="both"/>
        <w:rPr>
          <w:bCs/>
          <w:szCs w:val="22"/>
        </w:rPr>
      </w:pPr>
    </w:p>
    <w:p w:rsidR="00E15002" w:rsidRDefault="00E15002" w:rsidP="003551D2">
      <w:pPr>
        <w:contextualSpacing/>
        <w:jc w:val="both"/>
        <w:rPr>
          <w:bCs/>
          <w:szCs w:val="22"/>
        </w:rPr>
      </w:pPr>
    </w:p>
    <w:tbl>
      <w:tblPr>
        <w:tblW w:w="9086" w:type="dxa"/>
        <w:tblInd w:w="94" w:type="dxa"/>
        <w:tblLayout w:type="fixed"/>
        <w:tblLook w:val="04A0" w:firstRow="1" w:lastRow="0" w:firstColumn="1" w:lastColumn="0" w:noHBand="0" w:noVBand="1"/>
      </w:tblPr>
      <w:tblGrid>
        <w:gridCol w:w="3558"/>
        <w:gridCol w:w="567"/>
        <w:gridCol w:w="567"/>
        <w:gridCol w:w="567"/>
        <w:gridCol w:w="709"/>
        <w:gridCol w:w="709"/>
        <w:gridCol w:w="567"/>
        <w:gridCol w:w="708"/>
        <w:gridCol w:w="567"/>
        <w:gridCol w:w="567"/>
      </w:tblGrid>
      <w:tr w:rsidR="003551D2" w:rsidRPr="00E06102" w:rsidTr="003551D2">
        <w:trPr>
          <w:trHeight w:val="227"/>
        </w:trPr>
        <w:tc>
          <w:tcPr>
            <w:tcW w:w="9086" w:type="dxa"/>
            <w:gridSpan w:val="10"/>
            <w:tcBorders>
              <w:top w:val="single" w:sz="8" w:space="0" w:color="auto"/>
              <w:left w:val="single" w:sz="8" w:space="0" w:color="auto"/>
              <w:bottom w:val="nil"/>
              <w:right w:val="single" w:sz="8" w:space="0" w:color="000000"/>
            </w:tcBorders>
          </w:tcPr>
          <w:p w:rsidR="003551D2" w:rsidRPr="009517DF" w:rsidRDefault="003551D2" w:rsidP="009517DF">
            <w:pPr>
              <w:jc w:val="center"/>
              <w:rPr>
                <w:rFonts w:ascii="Arial Narrow" w:hAnsi="Arial Narrow"/>
                <w:b/>
                <w:bCs/>
                <w:color w:val="000000"/>
                <w:sz w:val="22"/>
                <w:szCs w:val="22"/>
              </w:rPr>
            </w:pPr>
            <w:r w:rsidRPr="001F5447">
              <w:rPr>
                <w:rFonts w:ascii="Arial Narrow" w:hAnsi="Arial Narrow"/>
                <w:b/>
                <w:bCs/>
                <w:color w:val="000000"/>
                <w:sz w:val="22"/>
                <w:szCs w:val="22"/>
              </w:rPr>
              <w:t xml:space="preserve">Πίνακας </w:t>
            </w:r>
            <w:r w:rsidR="00D4290F">
              <w:rPr>
                <w:rFonts w:ascii="Arial Narrow" w:hAnsi="Arial Narrow"/>
                <w:b/>
                <w:bCs/>
                <w:color w:val="000000"/>
                <w:sz w:val="22"/>
                <w:szCs w:val="22"/>
              </w:rPr>
              <w:t>2.4</w:t>
            </w:r>
            <w:r>
              <w:rPr>
                <w:rFonts w:ascii="Arial Narrow" w:hAnsi="Arial Narrow"/>
                <w:b/>
                <w:bCs/>
                <w:color w:val="000000"/>
                <w:sz w:val="22"/>
                <w:szCs w:val="22"/>
              </w:rPr>
              <w:t xml:space="preserve"> </w:t>
            </w:r>
            <w:r w:rsidRPr="00E06102">
              <w:rPr>
                <w:rFonts w:ascii="Arial Narrow" w:hAnsi="Arial Narrow"/>
                <w:b/>
                <w:bCs/>
                <w:color w:val="000000"/>
                <w:sz w:val="22"/>
                <w:szCs w:val="22"/>
              </w:rPr>
              <w:t xml:space="preserve">Εξέλιξη </w:t>
            </w:r>
            <w:r>
              <w:rPr>
                <w:rFonts w:ascii="Arial Narrow" w:hAnsi="Arial Narrow"/>
                <w:b/>
                <w:bCs/>
                <w:color w:val="000000"/>
                <w:sz w:val="22"/>
                <w:szCs w:val="22"/>
              </w:rPr>
              <w:t xml:space="preserve">εκκρεμών επιστροφών φόρων </w:t>
            </w:r>
            <w:r w:rsidRPr="00E06102">
              <w:rPr>
                <w:rFonts w:ascii="Arial Narrow" w:hAnsi="Arial Narrow"/>
                <w:b/>
                <w:bCs/>
                <w:color w:val="000000"/>
                <w:sz w:val="22"/>
                <w:szCs w:val="22"/>
              </w:rPr>
              <w:br/>
            </w:r>
            <w:r w:rsidR="0092253E">
              <w:rPr>
                <w:rFonts w:ascii="Arial Narrow" w:hAnsi="Arial Narrow"/>
                <w:b/>
                <w:bCs/>
                <w:color w:val="000000"/>
                <w:sz w:val="22"/>
                <w:szCs w:val="22"/>
              </w:rPr>
              <w:t>Δεκέμβριος 2018 - Ιούλιος 2020</w:t>
            </w:r>
          </w:p>
          <w:p w:rsidR="009517DF" w:rsidRPr="009517DF" w:rsidRDefault="009517DF" w:rsidP="009517DF">
            <w:pPr>
              <w:jc w:val="center"/>
              <w:rPr>
                <w:rFonts w:ascii="Arial Narrow" w:hAnsi="Arial Narrow"/>
                <w:b/>
                <w:bCs/>
                <w:color w:val="000000"/>
                <w:sz w:val="22"/>
                <w:szCs w:val="22"/>
              </w:rPr>
            </w:pPr>
            <w:r w:rsidRPr="009517DF">
              <w:rPr>
                <w:rFonts w:ascii="Arial Narrow" w:hAnsi="Arial Narrow"/>
                <w:b/>
                <w:bCs/>
                <w:i/>
                <w:iCs/>
                <w:color w:val="000000"/>
                <w:sz w:val="22"/>
                <w:szCs w:val="22"/>
              </w:rPr>
              <w:t>(</w:t>
            </w:r>
            <w:r w:rsidRPr="009517DF">
              <w:rPr>
                <w:rFonts w:ascii="Arial Narrow" w:hAnsi="Arial Narrow"/>
                <w:b/>
                <w:bCs/>
                <w:color w:val="000000"/>
                <w:sz w:val="22"/>
                <w:szCs w:val="22"/>
              </w:rPr>
              <w:t>σε εκατ. ευρώ)</w:t>
            </w:r>
          </w:p>
        </w:tc>
      </w:tr>
      <w:tr w:rsidR="00430C68" w:rsidRPr="00E06102" w:rsidTr="00430C68">
        <w:trPr>
          <w:trHeight w:val="227"/>
        </w:trPr>
        <w:tc>
          <w:tcPr>
            <w:tcW w:w="3558" w:type="dxa"/>
            <w:vMerge w:val="restart"/>
            <w:tcBorders>
              <w:top w:val="single" w:sz="8" w:space="0" w:color="auto"/>
              <w:left w:val="single" w:sz="8" w:space="0" w:color="auto"/>
              <w:right w:val="single" w:sz="8" w:space="0" w:color="auto"/>
            </w:tcBorders>
            <w:shd w:val="clear" w:color="auto" w:fill="auto"/>
            <w:vAlign w:val="center"/>
            <w:hideMark/>
          </w:tcPr>
          <w:p w:rsidR="00430C68" w:rsidRPr="00E06102" w:rsidRDefault="00430C68" w:rsidP="00430C68">
            <w:pPr>
              <w:jc w:val="center"/>
              <w:rPr>
                <w:rFonts w:ascii="Arial Narrow" w:hAnsi="Arial Narrow"/>
                <w:b/>
                <w:bCs/>
                <w:color w:val="000000"/>
                <w:sz w:val="16"/>
                <w:szCs w:val="16"/>
              </w:rPr>
            </w:pPr>
            <w:r w:rsidRPr="00E06102">
              <w:rPr>
                <w:rFonts w:ascii="Arial Narrow" w:hAnsi="Arial Narrow"/>
                <w:b/>
                <w:bCs/>
                <w:color w:val="000000"/>
                <w:sz w:val="16"/>
                <w:szCs w:val="16"/>
              </w:rPr>
              <w:t>Φορέας Γενικής Κυβέρνησης</w:t>
            </w:r>
          </w:p>
        </w:tc>
        <w:tc>
          <w:tcPr>
            <w:tcW w:w="567"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sidRPr="00E06102">
              <w:rPr>
                <w:rFonts w:ascii="Arial Narrow" w:hAnsi="Arial Narrow"/>
                <w:b/>
                <w:bCs/>
                <w:color w:val="000000"/>
                <w:sz w:val="16"/>
                <w:szCs w:val="16"/>
              </w:rPr>
              <w:t>Δεκ.</w:t>
            </w:r>
          </w:p>
        </w:tc>
        <w:tc>
          <w:tcPr>
            <w:tcW w:w="567" w:type="dxa"/>
            <w:tcBorders>
              <w:top w:val="single" w:sz="8" w:space="0" w:color="auto"/>
              <w:left w:val="single" w:sz="8" w:space="0" w:color="auto"/>
              <w:right w:val="single" w:sz="8" w:space="0" w:color="auto"/>
            </w:tcBorders>
            <w:vAlign w:val="bottom"/>
          </w:tcPr>
          <w:p w:rsidR="00430C68" w:rsidRPr="00E06102" w:rsidRDefault="00430C68" w:rsidP="003551D2">
            <w:pPr>
              <w:jc w:val="center"/>
              <w:rPr>
                <w:rFonts w:ascii="Arial Narrow" w:hAnsi="Arial Narrow"/>
                <w:b/>
                <w:bCs/>
                <w:color w:val="000000"/>
                <w:sz w:val="16"/>
                <w:szCs w:val="16"/>
              </w:rPr>
            </w:pPr>
            <w:r w:rsidRPr="00E06102">
              <w:rPr>
                <w:rFonts w:ascii="Arial Narrow" w:hAnsi="Arial Narrow"/>
                <w:b/>
                <w:bCs/>
                <w:color w:val="000000"/>
                <w:sz w:val="16"/>
                <w:szCs w:val="16"/>
              </w:rPr>
              <w:t>Δεκ.</w:t>
            </w:r>
          </w:p>
        </w:tc>
        <w:tc>
          <w:tcPr>
            <w:tcW w:w="567"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sidRPr="00E06102">
              <w:rPr>
                <w:rFonts w:ascii="Arial Narrow" w:hAnsi="Arial Narrow"/>
                <w:b/>
                <w:bCs/>
                <w:color w:val="000000"/>
                <w:sz w:val="16"/>
                <w:szCs w:val="16"/>
              </w:rPr>
              <w:t>Ιαν.</w:t>
            </w:r>
          </w:p>
        </w:tc>
        <w:tc>
          <w:tcPr>
            <w:tcW w:w="709"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Φεβρ</w:t>
            </w:r>
            <w:proofErr w:type="spellEnd"/>
            <w:r w:rsidRPr="00E06102">
              <w:rPr>
                <w:rFonts w:ascii="Arial Narrow" w:hAnsi="Arial Narrow"/>
                <w:b/>
                <w:bCs/>
                <w:color w:val="000000"/>
                <w:sz w:val="16"/>
                <w:szCs w:val="16"/>
              </w:rPr>
              <w:t>.</w:t>
            </w:r>
          </w:p>
        </w:tc>
        <w:tc>
          <w:tcPr>
            <w:tcW w:w="709"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Μάρτ</w:t>
            </w:r>
            <w:proofErr w:type="spellEnd"/>
            <w:r w:rsidRPr="00E06102">
              <w:rPr>
                <w:rFonts w:ascii="Arial Narrow" w:hAnsi="Arial Narrow"/>
                <w:b/>
                <w:bCs/>
                <w:color w:val="000000"/>
                <w:sz w:val="16"/>
                <w:szCs w:val="16"/>
              </w:rPr>
              <w:t>.</w:t>
            </w:r>
          </w:p>
        </w:tc>
        <w:tc>
          <w:tcPr>
            <w:tcW w:w="567"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sidRPr="00E06102">
              <w:rPr>
                <w:rFonts w:ascii="Arial Narrow" w:hAnsi="Arial Narrow"/>
                <w:b/>
                <w:bCs/>
                <w:color w:val="000000"/>
                <w:sz w:val="16"/>
                <w:szCs w:val="16"/>
              </w:rPr>
              <w:t>Απρ.</w:t>
            </w:r>
          </w:p>
        </w:tc>
        <w:tc>
          <w:tcPr>
            <w:tcW w:w="708"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sidRPr="00E06102">
              <w:rPr>
                <w:rFonts w:ascii="Arial Narrow" w:hAnsi="Arial Narrow"/>
                <w:b/>
                <w:bCs/>
                <w:color w:val="000000"/>
                <w:sz w:val="16"/>
                <w:szCs w:val="16"/>
              </w:rPr>
              <w:t>Μάιος</w:t>
            </w:r>
          </w:p>
        </w:tc>
        <w:tc>
          <w:tcPr>
            <w:tcW w:w="567"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Ιούν</w:t>
            </w:r>
            <w:proofErr w:type="spellEnd"/>
            <w:r>
              <w:rPr>
                <w:rFonts w:ascii="Arial Narrow" w:hAnsi="Arial Narrow"/>
                <w:b/>
                <w:bCs/>
                <w:color w:val="000000"/>
                <w:sz w:val="16"/>
                <w:szCs w:val="16"/>
              </w:rPr>
              <w:t>.</w:t>
            </w:r>
          </w:p>
        </w:tc>
        <w:tc>
          <w:tcPr>
            <w:tcW w:w="567" w:type="dxa"/>
            <w:tcBorders>
              <w:top w:val="single" w:sz="8" w:space="0" w:color="auto"/>
              <w:left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proofErr w:type="spellStart"/>
            <w:r w:rsidRPr="00E06102">
              <w:rPr>
                <w:rFonts w:ascii="Arial Narrow" w:hAnsi="Arial Narrow"/>
                <w:b/>
                <w:bCs/>
                <w:color w:val="000000"/>
                <w:sz w:val="16"/>
                <w:szCs w:val="16"/>
              </w:rPr>
              <w:t>Ιούλ</w:t>
            </w:r>
            <w:proofErr w:type="spellEnd"/>
            <w:r>
              <w:rPr>
                <w:rFonts w:ascii="Arial Narrow" w:hAnsi="Arial Narrow"/>
                <w:b/>
                <w:bCs/>
                <w:color w:val="000000"/>
                <w:sz w:val="16"/>
                <w:szCs w:val="16"/>
              </w:rPr>
              <w:t>.</w:t>
            </w:r>
          </w:p>
        </w:tc>
      </w:tr>
      <w:tr w:rsidR="00430C68" w:rsidRPr="00E06102" w:rsidTr="0010172E">
        <w:trPr>
          <w:trHeight w:val="227"/>
        </w:trPr>
        <w:tc>
          <w:tcPr>
            <w:tcW w:w="3558" w:type="dxa"/>
            <w:vMerge/>
            <w:tcBorders>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p>
        </w:tc>
        <w:tc>
          <w:tcPr>
            <w:tcW w:w="567"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2018</w:t>
            </w:r>
          </w:p>
        </w:tc>
        <w:tc>
          <w:tcPr>
            <w:tcW w:w="567" w:type="dxa"/>
            <w:tcBorders>
              <w:top w:val="nil"/>
              <w:left w:val="single" w:sz="8" w:space="0" w:color="auto"/>
              <w:bottom w:val="single" w:sz="8" w:space="0" w:color="auto"/>
              <w:right w:val="single" w:sz="8" w:space="0" w:color="auto"/>
            </w:tcBorders>
            <w:vAlign w:val="bottom"/>
          </w:tcPr>
          <w:p w:rsidR="00430C68" w:rsidRPr="00E06102" w:rsidRDefault="00430C68" w:rsidP="003551D2">
            <w:pPr>
              <w:jc w:val="center"/>
              <w:rPr>
                <w:rFonts w:ascii="Arial Narrow" w:hAnsi="Arial Narrow"/>
                <w:b/>
                <w:bCs/>
                <w:color w:val="000000"/>
                <w:sz w:val="16"/>
                <w:szCs w:val="16"/>
              </w:rPr>
            </w:pPr>
            <w:r w:rsidRPr="00E06102">
              <w:rPr>
                <w:rFonts w:ascii="Arial Narrow" w:hAnsi="Arial Narrow"/>
                <w:b/>
                <w:bCs/>
                <w:color w:val="000000"/>
                <w:sz w:val="16"/>
                <w:szCs w:val="16"/>
              </w:rPr>
              <w:t>201</w:t>
            </w:r>
            <w:r>
              <w:rPr>
                <w:rFonts w:ascii="Arial Narrow" w:hAnsi="Arial Narrow"/>
                <w:b/>
                <w:bCs/>
                <w:color w:val="000000"/>
                <w:sz w:val="16"/>
                <w:szCs w:val="16"/>
              </w:rPr>
              <w:t>9</w:t>
            </w:r>
          </w:p>
        </w:tc>
        <w:tc>
          <w:tcPr>
            <w:tcW w:w="567"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567"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708"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567"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2020</w:t>
            </w:r>
          </w:p>
        </w:tc>
        <w:tc>
          <w:tcPr>
            <w:tcW w:w="567" w:type="dxa"/>
            <w:tcBorders>
              <w:top w:val="nil"/>
              <w:left w:val="single" w:sz="8" w:space="0" w:color="auto"/>
              <w:bottom w:val="single" w:sz="8" w:space="0" w:color="auto"/>
              <w:right w:val="single" w:sz="8" w:space="0" w:color="auto"/>
            </w:tcBorders>
            <w:shd w:val="clear" w:color="auto" w:fill="auto"/>
            <w:vAlign w:val="bottom"/>
            <w:hideMark/>
          </w:tcPr>
          <w:p w:rsidR="00430C68" w:rsidRPr="00E06102" w:rsidRDefault="00430C68" w:rsidP="003551D2">
            <w:pPr>
              <w:jc w:val="center"/>
              <w:rPr>
                <w:rFonts w:ascii="Arial Narrow" w:hAnsi="Arial Narrow"/>
                <w:b/>
                <w:bCs/>
                <w:color w:val="000000"/>
                <w:sz w:val="16"/>
                <w:szCs w:val="16"/>
              </w:rPr>
            </w:pPr>
            <w:r>
              <w:rPr>
                <w:rFonts w:ascii="Arial Narrow" w:hAnsi="Arial Narrow"/>
                <w:b/>
                <w:bCs/>
                <w:color w:val="000000"/>
                <w:sz w:val="16"/>
                <w:szCs w:val="16"/>
              </w:rPr>
              <w:t>2020</w:t>
            </w:r>
          </w:p>
        </w:tc>
      </w:tr>
      <w:tr w:rsidR="00871757" w:rsidRPr="00E06102" w:rsidTr="00430C68">
        <w:trPr>
          <w:trHeight w:val="227"/>
        </w:trPr>
        <w:tc>
          <w:tcPr>
            <w:tcW w:w="3558" w:type="dxa"/>
            <w:tcBorders>
              <w:top w:val="single" w:sz="8" w:space="0" w:color="auto"/>
              <w:left w:val="single" w:sz="8" w:space="0" w:color="auto"/>
              <w:bottom w:val="single" w:sz="8" w:space="0" w:color="auto"/>
            </w:tcBorders>
            <w:shd w:val="pct25" w:color="auto" w:fill="auto"/>
            <w:hideMark/>
          </w:tcPr>
          <w:p w:rsidR="00871757" w:rsidRPr="00B87D47" w:rsidRDefault="00871757" w:rsidP="00430C68">
            <w:pPr>
              <w:rPr>
                <w:rFonts w:ascii="Arial Narrow" w:hAnsi="Arial Narrow"/>
                <w:b/>
                <w:bCs/>
                <w:color w:val="000000"/>
                <w:sz w:val="16"/>
                <w:szCs w:val="16"/>
              </w:rPr>
            </w:pPr>
            <w:r w:rsidRPr="00EA39BA">
              <w:rPr>
                <w:rFonts w:ascii="Arial Narrow" w:hAnsi="Arial Narrow"/>
                <w:b/>
                <w:color w:val="000000"/>
                <w:sz w:val="16"/>
                <w:szCs w:val="16"/>
              </w:rPr>
              <w:t>Εκκρεμείς</w:t>
            </w:r>
            <w:r>
              <w:rPr>
                <w:rFonts w:ascii="Arial Narrow" w:hAnsi="Arial Narrow"/>
                <w:b/>
                <w:color w:val="000000"/>
                <w:sz w:val="16"/>
                <w:szCs w:val="16"/>
              </w:rPr>
              <w:t xml:space="preserve"> </w:t>
            </w:r>
            <w:r w:rsidRPr="00EA39BA">
              <w:rPr>
                <w:rFonts w:ascii="Arial Narrow" w:hAnsi="Arial Narrow"/>
                <w:b/>
                <w:color w:val="000000"/>
                <w:sz w:val="16"/>
                <w:szCs w:val="16"/>
              </w:rPr>
              <w:t>επιστροφές φόρων</w:t>
            </w:r>
          </w:p>
        </w:tc>
        <w:tc>
          <w:tcPr>
            <w:tcW w:w="567" w:type="dxa"/>
            <w:tcBorders>
              <w:top w:val="single" w:sz="8" w:space="0" w:color="auto"/>
              <w:bottom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506</w:t>
            </w:r>
          </w:p>
        </w:tc>
        <w:tc>
          <w:tcPr>
            <w:tcW w:w="567" w:type="dxa"/>
            <w:tcBorders>
              <w:top w:val="single" w:sz="8" w:space="0" w:color="auto"/>
              <w:bottom w:val="single" w:sz="8" w:space="0" w:color="auto"/>
            </w:tcBorders>
            <w:shd w:val="pct25" w:color="auto" w:fill="auto"/>
            <w:vAlign w:val="bottom"/>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667</w:t>
            </w:r>
          </w:p>
        </w:tc>
        <w:tc>
          <w:tcPr>
            <w:tcW w:w="567" w:type="dxa"/>
            <w:tcBorders>
              <w:top w:val="single" w:sz="8" w:space="0" w:color="auto"/>
              <w:bottom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612</w:t>
            </w:r>
          </w:p>
        </w:tc>
        <w:tc>
          <w:tcPr>
            <w:tcW w:w="709" w:type="dxa"/>
            <w:tcBorders>
              <w:top w:val="single" w:sz="8" w:space="0" w:color="auto"/>
              <w:bottom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632</w:t>
            </w:r>
          </w:p>
        </w:tc>
        <w:tc>
          <w:tcPr>
            <w:tcW w:w="709" w:type="dxa"/>
            <w:tcBorders>
              <w:top w:val="single" w:sz="8" w:space="0" w:color="auto"/>
              <w:bottom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610</w:t>
            </w:r>
          </w:p>
        </w:tc>
        <w:tc>
          <w:tcPr>
            <w:tcW w:w="567" w:type="dxa"/>
            <w:tcBorders>
              <w:top w:val="single" w:sz="8" w:space="0" w:color="auto"/>
              <w:bottom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626</w:t>
            </w:r>
          </w:p>
        </w:tc>
        <w:tc>
          <w:tcPr>
            <w:tcW w:w="708" w:type="dxa"/>
            <w:tcBorders>
              <w:top w:val="single" w:sz="8" w:space="0" w:color="auto"/>
              <w:bottom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498</w:t>
            </w:r>
          </w:p>
        </w:tc>
        <w:tc>
          <w:tcPr>
            <w:tcW w:w="567" w:type="dxa"/>
            <w:tcBorders>
              <w:top w:val="single" w:sz="8" w:space="0" w:color="auto"/>
              <w:bottom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612</w:t>
            </w:r>
          </w:p>
        </w:tc>
        <w:tc>
          <w:tcPr>
            <w:tcW w:w="567" w:type="dxa"/>
            <w:tcBorders>
              <w:top w:val="single" w:sz="8" w:space="0" w:color="auto"/>
              <w:bottom w:val="single" w:sz="8" w:space="0" w:color="auto"/>
              <w:right w:val="single" w:sz="8" w:space="0" w:color="auto"/>
            </w:tcBorders>
            <w:shd w:val="pct25" w:color="auto" w:fill="auto"/>
            <w:vAlign w:val="bottom"/>
            <w:hideMark/>
          </w:tcPr>
          <w:p w:rsidR="00871757" w:rsidRPr="00476759" w:rsidRDefault="00871757" w:rsidP="0010172E">
            <w:pPr>
              <w:jc w:val="center"/>
              <w:rPr>
                <w:rFonts w:ascii="Arial Narrow" w:hAnsi="Arial Narrow"/>
                <w:b/>
                <w:bCs/>
                <w:color w:val="000000"/>
                <w:sz w:val="16"/>
                <w:szCs w:val="16"/>
              </w:rPr>
            </w:pPr>
            <w:r w:rsidRPr="00476759">
              <w:rPr>
                <w:rFonts w:ascii="Arial Narrow" w:hAnsi="Arial Narrow"/>
                <w:b/>
                <w:bCs/>
                <w:color w:val="000000"/>
                <w:sz w:val="16"/>
                <w:szCs w:val="16"/>
              </w:rPr>
              <w:t>746</w:t>
            </w:r>
          </w:p>
        </w:tc>
      </w:tr>
      <w:tr w:rsidR="00871757" w:rsidRPr="00B87D47" w:rsidTr="0010172E">
        <w:trPr>
          <w:trHeight w:val="227"/>
        </w:trPr>
        <w:tc>
          <w:tcPr>
            <w:tcW w:w="3558" w:type="dxa"/>
            <w:tcBorders>
              <w:top w:val="single" w:sz="8" w:space="0" w:color="auto"/>
              <w:left w:val="single" w:sz="8" w:space="0" w:color="auto"/>
            </w:tcBorders>
            <w:shd w:val="clear" w:color="auto" w:fill="auto"/>
            <w:vAlign w:val="bottom"/>
            <w:hideMark/>
          </w:tcPr>
          <w:p w:rsidR="00871757" w:rsidRPr="00B87D47" w:rsidRDefault="00871757" w:rsidP="00430C68">
            <w:pPr>
              <w:jc w:val="both"/>
              <w:rPr>
                <w:rFonts w:ascii="Arial Narrow" w:hAnsi="Arial Narrow"/>
                <w:b/>
                <w:bCs/>
                <w:color w:val="000000"/>
                <w:sz w:val="16"/>
                <w:szCs w:val="16"/>
              </w:rPr>
            </w:pPr>
            <w:r>
              <w:rPr>
                <w:rFonts w:ascii="Arial Narrow" w:hAnsi="Arial Narrow"/>
                <w:color w:val="000000"/>
                <w:sz w:val="16"/>
                <w:szCs w:val="16"/>
              </w:rPr>
              <w:t>Εκκρεμείς επιστροφές φ</w:t>
            </w:r>
            <w:r w:rsidRPr="00B87D47">
              <w:rPr>
                <w:rFonts w:ascii="Arial Narrow" w:hAnsi="Arial Narrow"/>
                <w:color w:val="000000"/>
                <w:sz w:val="16"/>
                <w:szCs w:val="16"/>
              </w:rPr>
              <w:t>όρων άνω των 90 ημερών (ληξιπρόθεσμες επιστροφές) από την ημερομηνία έκδοσης του ΑΦΕΚ</w:t>
            </w:r>
          </w:p>
        </w:tc>
        <w:tc>
          <w:tcPr>
            <w:tcW w:w="567" w:type="dxa"/>
            <w:tcBorders>
              <w:top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340</w:t>
            </w:r>
          </w:p>
        </w:tc>
        <w:tc>
          <w:tcPr>
            <w:tcW w:w="567" w:type="dxa"/>
            <w:tcBorders>
              <w:top w:val="single" w:sz="8" w:space="0" w:color="auto"/>
            </w:tcBorders>
            <w:vAlign w:val="center"/>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371</w:t>
            </w:r>
          </w:p>
        </w:tc>
        <w:tc>
          <w:tcPr>
            <w:tcW w:w="567" w:type="dxa"/>
            <w:tcBorders>
              <w:top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375</w:t>
            </w:r>
          </w:p>
        </w:tc>
        <w:tc>
          <w:tcPr>
            <w:tcW w:w="709" w:type="dxa"/>
            <w:tcBorders>
              <w:top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377</w:t>
            </w:r>
          </w:p>
        </w:tc>
        <w:tc>
          <w:tcPr>
            <w:tcW w:w="709" w:type="dxa"/>
            <w:tcBorders>
              <w:top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433</w:t>
            </w:r>
          </w:p>
        </w:tc>
        <w:tc>
          <w:tcPr>
            <w:tcW w:w="567" w:type="dxa"/>
            <w:tcBorders>
              <w:top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456</w:t>
            </w:r>
          </w:p>
        </w:tc>
        <w:tc>
          <w:tcPr>
            <w:tcW w:w="708" w:type="dxa"/>
            <w:tcBorders>
              <w:top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333</w:t>
            </w:r>
          </w:p>
        </w:tc>
        <w:tc>
          <w:tcPr>
            <w:tcW w:w="567" w:type="dxa"/>
            <w:tcBorders>
              <w:top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288</w:t>
            </w:r>
          </w:p>
        </w:tc>
        <w:tc>
          <w:tcPr>
            <w:tcW w:w="567" w:type="dxa"/>
            <w:tcBorders>
              <w:top w:val="single" w:sz="8" w:space="0" w:color="auto"/>
              <w:right w:val="single" w:sz="8" w:space="0" w:color="auto"/>
            </w:tcBorders>
            <w:shd w:val="clear" w:color="auto" w:fill="auto"/>
            <w:vAlign w:val="center"/>
            <w:hideMark/>
          </w:tcPr>
          <w:p w:rsidR="00871757" w:rsidRPr="00476759" w:rsidRDefault="00871757" w:rsidP="0010172E">
            <w:pPr>
              <w:jc w:val="center"/>
              <w:rPr>
                <w:rFonts w:ascii="Arial Narrow" w:hAnsi="Arial Narrow"/>
                <w:color w:val="000000"/>
                <w:sz w:val="16"/>
                <w:szCs w:val="16"/>
              </w:rPr>
            </w:pPr>
            <w:r w:rsidRPr="00476759">
              <w:rPr>
                <w:rFonts w:ascii="Arial Narrow" w:hAnsi="Arial Narrow"/>
                <w:color w:val="000000"/>
                <w:sz w:val="16"/>
                <w:szCs w:val="16"/>
              </w:rPr>
              <w:t>277</w:t>
            </w:r>
          </w:p>
        </w:tc>
      </w:tr>
      <w:tr w:rsidR="00871757" w:rsidRPr="00871757" w:rsidTr="0010172E">
        <w:trPr>
          <w:trHeight w:val="227"/>
        </w:trPr>
        <w:tc>
          <w:tcPr>
            <w:tcW w:w="3558" w:type="dxa"/>
            <w:tcBorders>
              <w:top w:val="nil"/>
              <w:left w:val="single" w:sz="8" w:space="0" w:color="auto"/>
            </w:tcBorders>
            <w:shd w:val="clear" w:color="auto" w:fill="auto"/>
            <w:vAlign w:val="bottom"/>
            <w:hideMark/>
          </w:tcPr>
          <w:p w:rsidR="00871757" w:rsidRPr="00871757" w:rsidRDefault="00871757" w:rsidP="00430C68">
            <w:pPr>
              <w:tabs>
                <w:tab w:val="left" w:pos="286"/>
              </w:tabs>
              <w:ind w:left="286" w:hanging="286"/>
              <w:jc w:val="both"/>
              <w:rPr>
                <w:rFonts w:ascii="Arial Narrow" w:hAnsi="Arial Narrow"/>
                <w:b/>
                <w:bCs/>
                <w:color w:val="000000"/>
                <w:sz w:val="16"/>
                <w:szCs w:val="16"/>
              </w:rPr>
            </w:pPr>
            <w:r w:rsidRPr="00871757">
              <w:rPr>
                <w:rFonts w:ascii="Arial Narrow" w:hAnsi="Arial Narrow"/>
                <w:color w:val="000000"/>
                <w:sz w:val="16"/>
                <w:szCs w:val="16"/>
              </w:rPr>
              <w:t>α)</w:t>
            </w:r>
            <w:r w:rsidRPr="00871757">
              <w:rPr>
                <w:rFonts w:ascii="Arial Narrow" w:hAnsi="Arial Narrow"/>
                <w:color w:val="000000"/>
                <w:sz w:val="16"/>
                <w:szCs w:val="16"/>
              </w:rPr>
              <w:tab/>
              <w:t xml:space="preserve">εκ των οποίων ποσό που δε μπορεί να αποπληρωθεί λόγω εξωγενών παραγόντων (μη ανταπόκριση δικαιούχου ή μη προσκόμιση δικαιολογητικών) </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color w:val="000000"/>
                <w:sz w:val="16"/>
                <w:szCs w:val="16"/>
              </w:rPr>
            </w:pPr>
            <w:r w:rsidRPr="00871757">
              <w:rPr>
                <w:rFonts w:ascii="Arial Narrow" w:hAnsi="Arial Narrow"/>
                <w:i/>
                <w:color w:val="000000"/>
                <w:sz w:val="16"/>
                <w:szCs w:val="16"/>
              </w:rPr>
              <w:t>254</w:t>
            </w:r>
          </w:p>
        </w:tc>
        <w:tc>
          <w:tcPr>
            <w:tcW w:w="567" w:type="dxa"/>
            <w:tcBorders>
              <w:top w:val="nil"/>
            </w:tcBorders>
            <w:vAlign w:val="center"/>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290</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286</w:t>
            </w:r>
          </w:p>
        </w:tc>
        <w:tc>
          <w:tcPr>
            <w:tcW w:w="709"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296</w:t>
            </w:r>
          </w:p>
        </w:tc>
        <w:tc>
          <w:tcPr>
            <w:tcW w:w="709"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337</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370</w:t>
            </w:r>
          </w:p>
        </w:tc>
        <w:tc>
          <w:tcPr>
            <w:tcW w:w="708"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263</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247</w:t>
            </w:r>
          </w:p>
        </w:tc>
        <w:tc>
          <w:tcPr>
            <w:tcW w:w="567" w:type="dxa"/>
            <w:tcBorders>
              <w:top w:val="nil"/>
              <w:right w:val="single" w:sz="8" w:space="0" w:color="auto"/>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232</w:t>
            </w:r>
          </w:p>
        </w:tc>
      </w:tr>
      <w:tr w:rsidR="00871757" w:rsidRPr="00871757" w:rsidTr="0010172E">
        <w:trPr>
          <w:trHeight w:val="227"/>
        </w:trPr>
        <w:tc>
          <w:tcPr>
            <w:tcW w:w="3558" w:type="dxa"/>
            <w:tcBorders>
              <w:top w:val="nil"/>
              <w:left w:val="single" w:sz="8" w:space="0" w:color="auto"/>
            </w:tcBorders>
            <w:shd w:val="clear" w:color="auto" w:fill="auto"/>
            <w:vAlign w:val="bottom"/>
            <w:hideMark/>
          </w:tcPr>
          <w:p w:rsidR="00871757" w:rsidRPr="00871757" w:rsidRDefault="00871757" w:rsidP="00430C68">
            <w:pPr>
              <w:tabs>
                <w:tab w:val="left" w:pos="286"/>
              </w:tabs>
              <w:ind w:left="286" w:hanging="286"/>
              <w:jc w:val="both"/>
              <w:rPr>
                <w:rFonts w:ascii="Arial Narrow" w:hAnsi="Arial Narrow"/>
                <w:b/>
                <w:bCs/>
                <w:color w:val="000000"/>
                <w:sz w:val="16"/>
                <w:szCs w:val="16"/>
              </w:rPr>
            </w:pPr>
            <w:r w:rsidRPr="00871757">
              <w:rPr>
                <w:rFonts w:ascii="Arial Narrow" w:hAnsi="Arial Narrow"/>
                <w:color w:val="000000"/>
                <w:sz w:val="16"/>
                <w:szCs w:val="16"/>
              </w:rPr>
              <w:t>β)</w:t>
            </w:r>
            <w:r w:rsidRPr="00871757">
              <w:rPr>
                <w:rFonts w:ascii="Arial Narrow" w:hAnsi="Arial Narrow"/>
                <w:color w:val="000000"/>
                <w:sz w:val="16"/>
                <w:szCs w:val="16"/>
              </w:rPr>
              <w:tab/>
              <w:t xml:space="preserve">λοιπές εκκρεμείς επιστροφές φόρων άνω των 90 ημερών (ληξιπρόθεσμες επιστροφές) </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color w:val="000000"/>
                <w:sz w:val="16"/>
                <w:szCs w:val="16"/>
              </w:rPr>
            </w:pPr>
            <w:r w:rsidRPr="00871757">
              <w:rPr>
                <w:rFonts w:ascii="Arial Narrow" w:hAnsi="Arial Narrow"/>
                <w:i/>
                <w:color w:val="000000"/>
                <w:sz w:val="16"/>
                <w:szCs w:val="16"/>
              </w:rPr>
              <w:t>85</w:t>
            </w:r>
          </w:p>
        </w:tc>
        <w:tc>
          <w:tcPr>
            <w:tcW w:w="567" w:type="dxa"/>
            <w:tcBorders>
              <w:top w:val="nil"/>
            </w:tcBorders>
            <w:vAlign w:val="center"/>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81</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89</w:t>
            </w:r>
          </w:p>
        </w:tc>
        <w:tc>
          <w:tcPr>
            <w:tcW w:w="709"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81</w:t>
            </w:r>
          </w:p>
        </w:tc>
        <w:tc>
          <w:tcPr>
            <w:tcW w:w="709"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96</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86</w:t>
            </w:r>
          </w:p>
        </w:tc>
        <w:tc>
          <w:tcPr>
            <w:tcW w:w="708"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70</w:t>
            </w:r>
          </w:p>
        </w:tc>
        <w:tc>
          <w:tcPr>
            <w:tcW w:w="567" w:type="dxa"/>
            <w:tcBorders>
              <w:top w:val="nil"/>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41</w:t>
            </w:r>
          </w:p>
        </w:tc>
        <w:tc>
          <w:tcPr>
            <w:tcW w:w="567" w:type="dxa"/>
            <w:tcBorders>
              <w:top w:val="nil"/>
              <w:right w:val="single" w:sz="8" w:space="0" w:color="auto"/>
            </w:tcBorders>
            <w:shd w:val="clear" w:color="auto" w:fill="auto"/>
            <w:vAlign w:val="center"/>
            <w:hideMark/>
          </w:tcPr>
          <w:p w:rsidR="00871757" w:rsidRPr="00871757" w:rsidRDefault="00871757" w:rsidP="0010172E">
            <w:pPr>
              <w:jc w:val="center"/>
              <w:rPr>
                <w:rFonts w:ascii="Arial Narrow" w:hAnsi="Arial Narrow"/>
                <w:i/>
                <w:iCs/>
                <w:color w:val="000000"/>
                <w:sz w:val="16"/>
                <w:szCs w:val="16"/>
              </w:rPr>
            </w:pPr>
            <w:r w:rsidRPr="00871757">
              <w:rPr>
                <w:rFonts w:ascii="Arial Narrow" w:hAnsi="Arial Narrow"/>
                <w:i/>
                <w:iCs/>
                <w:color w:val="000000"/>
                <w:sz w:val="16"/>
                <w:szCs w:val="16"/>
              </w:rPr>
              <w:t>45</w:t>
            </w:r>
          </w:p>
        </w:tc>
      </w:tr>
      <w:tr w:rsidR="00871757" w:rsidRPr="00B87D47" w:rsidTr="0010172E">
        <w:trPr>
          <w:trHeight w:val="227"/>
        </w:trPr>
        <w:tc>
          <w:tcPr>
            <w:tcW w:w="3558" w:type="dxa"/>
            <w:tcBorders>
              <w:top w:val="nil"/>
              <w:left w:val="single" w:sz="8" w:space="0" w:color="auto"/>
              <w:bottom w:val="single" w:sz="8" w:space="0" w:color="auto"/>
            </w:tcBorders>
            <w:shd w:val="clear" w:color="auto" w:fill="auto"/>
            <w:vAlign w:val="bottom"/>
            <w:hideMark/>
          </w:tcPr>
          <w:p w:rsidR="00871757" w:rsidRPr="00B87D47" w:rsidRDefault="00871757" w:rsidP="00430C68">
            <w:pPr>
              <w:jc w:val="both"/>
              <w:rPr>
                <w:rFonts w:ascii="Arial Narrow" w:hAnsi="Arial Narrow"/>
                <w:b/>
                <w:bCs/>
                <w:color w:val="000000"/>
                <w:sz w:val="16"/>
                <w:szCs w:val="16"/>
              </w:rPr>
            </w:pPr>
            <w:r>
              <w:rPr>
                <w:rFonts w:ascii="Arial Narrow" w:hAnsi="Arial Narrow"/>
                <w:color w:val="000000"/>
                <w:sz w:val="16"/>
                <w:szCs w:val="16"/>
              </w:rPr>
              <w:t>Εκκρεμείς επιστροφές φ</w:t>
            </w:r>
            <w:r w:rsidRPr="00B87D47">
              <w:rPr>
                <w:rFonts w:ascii="Arial Narrow" w:hAnsi="Arial Narrow"/>
                <w:color w:val="000000"/>
                <w:sz w:val="16"/>
                <w:szCs w:val="16"/>
              </w:rPr>
              <w:t>όρων κάτω των 90 ημερών (μη ληξιπρόθεσμες επιστροφές) από την ημερομηνία έκδοσης του ΑΦΕΚ</w:t>
            </w:r>
          </w:p>
        </w:tc>
        <w:tc>
          <w:tcPr>
            <w:tcW w:w="567" w:type="dxa"/>
            <w:tcBorders>
              <w:top w:val="nil"/>
              <w:bottom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166</w:t>
            </w:r>
          </w:p>
        </w:tc>
        <w:tc>
          <w:tcPr>
            <w:tcW w:w="567" w:type="dxa"/>
            <w:tcBorders>
              <w:top w:val="nil"/>
              <w:bottom w:val="single" w:sz="8" w:space="0" w:color="auto"/>
            </w:tcBorders>
            <w:vAlign w:val="center"/>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296</w:t>
            </w:r>
          </w:p>
        </w:tc>
        <w:tc>
          <w:tcPr>
            <w:tcW w:w="567" w:type="dxa"/>
            <w:tcBorders>
              <w:top w:val="nil"/>
              <w:bottom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238</w:t>
            </w:r>
          </w:p>
        </w:tc>
        <w:tc>
          <w:tcPr>
            <w:tcW w:w="709" w:type="dxa"/>
            <w:tcBorders>
              <w:top w:val="nil"/>
              <w:bottom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255</w:t>
            </w:r>
          </w:p>
        </w:tc>
        <w:tc>
          <w:tcPr>
            <w:tcW w:w="709" w:type="dxa"/>
            <w:tcBorders>
              <w:top w:val="nil"/>
              <w:bottom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177</w:t>
            </w:r>
          </w:p>
        </w:tc>
        <w:tc>
          <w:tcPr>
            <w:tcW w:w="567" w:type="dxa"/>
            <w:tcBorders>
              <w:top w:val="nil"/>
              <w:bottom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170</w:t>
            </w:r>
          </w:p>
        </w:tc>
        <w:tc>
          <w:tcPr>
            <w:tcW w:w="708" w:type="dxa"/>
            <w:tcBorders>
              <w:top w:val="nil"/>
              <w:bottom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165</w:t>
            </w:r>
          </w:p>
        </w:tc>
        <w:tc>
          <w:tcPr>
            <w:tcW w:w="567" w:type="dxa"/>
            <w:tcBorders>
              <w:top w:val="nil"/>
              <w:bottom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323</w:t>
            </w:r>
          </w:p>
        </w:tc>
        <w:tc>
          <w:tcPr>
            <w:tcW w:w="567" w:type="dxa"/>
            <w:tcBorders>
              <w:top w:val="nil"/>
              <w:bottom w:val="single" w:sz="8" w:space="0" w:color="auto"/>
              <w:right w:val="single" w:sz="8" w:space="0" w:color="auto"/>
            </w:tcBorders>
            <w:shd w:val="clear" w:color="auto" w:fill="auto"/>
            <w:vAlign w:val="center"/>
            <w:hideMark/>
          </w:tcPr>
          <w:p w:rsidR="00871757" w:rsidRPr="0088453B" w:rsidRDefault="00871757" w:rsidP="0010172E">
            <w:pPr>
              <w:jc w:val="center"/>
              <w:rPr>
                <w:rFonts w:ascii="Arial Narrow" w:hAnsi="Arial Narrow"/>
                <w:i/>
                <w:iCs/>
                <w:color w:val="000000"/>
                <w:sz w:val="16"/>
                <w:szCs w:val="16"/>
              </w:rPr>
            </w:pPr>
            <w:r w:rsidRPr="0088453B">
              <w:rPr>
                <w:rFonts w:ascii="Arial Narrow" w:hAnsi="Arial Narrow"/>
                <w:i/>
                <w:iCs/>
                <w:color w:val="000000"/>
                <w:sz w:val="16"/>
                <w:szCs w:val="16"/>
              </w:rPr>
              <w:t>469</w:t>
            </w:r>
          </w:p>
        </w:tc>
      </w:tr>
    </w:tbl>
    <w:p w:rsidR="003551D2" w:rsidRDefault="003551D2" w:rsidP="003551D2">
      <w:pPr>
        <w:contextualSpacing/>
        <w:jc w:val="both"/>
        <w:rPr>
          <w:bCs/>
          <w:szCs w:val="22"/>
        </w:rPr>
      </w:pPr>
    </w:p>
    <w:p w:rsidR="003D49BC" w:rsidRDefault="003D49BC" w:rsidP="003551D2">
      <w:pPr>
        <w:contextualSpacing/>
        <w:jc w:val="both"/>
        <w:rPr>
          <w:bCs/>
          <w:szCs w:val="22"/>
        </w:rPr>
      </w:pPr>
    </w:p>
    <w:p w:rsidR="00E15002" w:rsidRDefault="00E15002" w:rsidP="006A65DF">
      <w:pPr>
        <w:contextualSpacing/>
        <w:jc w:val="both"/>
      </w:pPr>
    </w:p>
    <w:p w:rsidR="006A65DF" w:rsidRPr="001F4026" w:rsidRDefault="006A65DF" w:rsidP="006A65DF">
      <w:pPr>
        <w:shd w:val="clear" w:color="auto" w:fill="BFBFBF"/>
        <w:contextualSpacing/>
        <w:jc w:val="both"/>
        <w:rPr>
          <w:rFonts w:ascii="Arial Narrow" w:hAnsi="Arial Narrow"/>
          <w:b/>
          <w:sz w:val="26"/>
        </w:rPr>
      </w:pPr>
      <w:r>
        <w:rPr>
          <w:rFonts w:ascii="Arial Narrow" w:hAnsi="Arial Narrow"/>
          <w:b/>
          <w:sz w:val="26"/>
        </w:rPr>
        <w:t>2.</w:t>
      </w:r>
      <w:r>
        <w:rPr>
          <w:rFonts w:ascii="Arial Narrow" w:hAnsi="Arial Narrow"/>
          <w:b/>
          <w:sz w:val="26"/>
        </w:rPr>
        <w:tab/>
        <w:t>Προβλέψεις 20</w:t>
      </w:r>
      <w:r w:rsidRPr="00D46D9A">
        <w:rPr>
          <w:rFonts w:ascii="Arial Narrow" w:hAnsi="Arial Narrow"/>
          <w:b/>
          <w:sz w:val="26"/>
        </w:rPr>
        <w:t>2</w:t>
      </w:r>
      <w:r>
        <w:rPr>
          <w:rFonts w:ascii="Arial Narrow" w:hAnsi="Arial Narrow"/>
          <w:b/>
          <w:sz w:val="26"/>
        </w:rPr>
        <w:t>1</w:t>
      </w:r>
    </w:p>
    <w:p w:rsidR="006A65DF" w:rsidRPr="004F40E8" w:rsidRDefault="006A65DF" w:rsidP="006A65DF">
      <w:pPr>
        <w:tabs>
          <w:tab w:val="left" w:pos="0"/>
        </w:tabs>
        <w:contextualSpacing/>
        <w:jc w:val="both"/>
        <w:rPr>
          <w:szCs w:val="22"/>
        </w:rPr>
      </w:pPr>
    </w:p>
    <w:p w:rsidR="006A65DF" w:rsidRDefault="006A65DF" w:rsidP="006A65DF">
      <w:pPr>
        <w:contextualSpacing/>
        <w:jc w:val="both"/>
      </w:pPr>
      <w:r>
        <w:t xml:space="preserve">Τα δημοσιονομικά μεγέθη του έτους 2021, για το οποίο όπως προαναφέρθηκε δεν θα ισχύσει ο στόχος της ενισχυμένης εποπτείας για την επίτευξη πρωτογενούς πλεονάσματος Γενικής Κυβέρνησης ύψους 3,5% του ΑΕΠ, θα επηρεαστούν σημαντικά από την εξέλιξη της πανδημίας </w:t>
      </w:r>
      <w:proofErr w:type="spellStart"/>
      <w:r w:rsidR="00BE23E9">
        <w:rPr>
          <w:lang w:val="en-US"/>
        </w:rPr>
        <w:t>Covid</w:t>
      </w:r>
      <w:proofErr w:type="spellEnd"/>
      <w:r w:rsidR="00BE23E9" w:rsidRPr="00BE23E9">
        <w:t>-19</w:t>
      </w:r>
      <w:r w:rsidRPr="0036374F">
        <w:t xml:space="preserve">, </w:t>
      </w:r>
      <w:r>
        <w:t xml:space="preserve">καθώς και από το γεγονός ότι ορισμένες από τις παρεμβάσεις λόγω </w:t>
      </w:r>
      <w:proofErr w:type="spellStart"/>
      <w:r w:rsidR="00BE23E9">
        <w:rPr>
          <w:lang w:val="en-US"/>
        </w:rPr>
        <w:t>Covid</w:t>
      </w:r>
      <w:proofErr w:type="spellEnd"/>
      <w:r w:rsidR="00BE23E9" w:rsidRPr="00BE23E9">
        <w:t>-19</w:t>
      </w:r>
      <w:r>
        <w:t xml:space="preserve"> που ξεκίνησαν το έτος 2020, όπως </w:t>
      </w:r>
      <w:r w:rsidR="00E15002">
        <w:t>οι</w:t>
      </w:r>
      <w:r>
        <w:t xml:space="preserve"> μειώσεις των φορολογικών συντελεστών</w:t>
      </w:r>
      <w:r w:rsidRPr="00F81435">
        <w:t xml:space="preserve"> </w:t>
      </w:r>
      <w:r>
        <w:t xml:space="preserve">σε διάφορα προϊόντα και υπηρεσίες, η επιδότηση πρώτης </w:t>
      </w:r>
      <w:r w:rsidRPr="00F81435">
        <w:t>κατοικίας για δανειολήπτες που επλήγησαν από την πανδημία</w:t>
      </w:r>
      <w:r>
        <w:t xml:space="preserve"> και η επιδότηση </w:t>
      </w:r>
      <w:r w:rsidRPr="00D563EF">
        <w:rPr>
          <w:rFonts w:cs="Calibri"/>
          <w:color w:val="000000"/>
        </w:rPr>
        <w:t xml:space="preserve">για 6 μήνες των ασφαλιστικών εισφορών </w:t>
      </w:r>
      <w:r>
        <w:rPr>
          <w:rFonts w:cs="Calibri"/>
          <w:color w:val="000000"/>
        </w:rPr>
        <w:t xml:space="preserve">σε 100.000 νέες θέσεις εργασίας, </w:t>
      </w:r>
      <w:r>
        <w:t>θα συνεχιστούν.</w:t>
      </w:r>
    </w:p>
    <w:p w:rsidR="006A65DF" w:rsidRDefault="006A65DF" w:rsidP="006A65DF">
      <w:pPr>
        <w:contextualSpacing/>
        <w:jc w:val="both"/>
      </w:pPr>
      <w:r>
        <w:t xml:space="preserve"> </w:t>
      </w:r>
    </w:p>
    <w:p w:rsidR="006A65DF" w:rsidRDefault="006A65DF" w:rsidP="006A65DF">
      <w:pPr>
        <w:contextualSpacing/>
        <w:jc w:val="both"/>
      </w:pPr>
      <w:r>
        <w:t>Επίσης, θα ξεκινήσει η υλοποίηση νέων παρεμβάσεων για την αντιμετώπιση των συνεπειών της υγειονομικής κρίσης, με βασικό σκοπό την ενίσχυση των επιχειρήσεων και των εργαζ</w:t>
      </w:r>
      <w:r w:rsidR="00F805B9">
        <w:t>ό</w:t>
      </w:r>
      <w:r>
        <w:t>μ</w:t>
      </w:r>
      <w:r w:rsidR="00F805B9">
        <w:t>ε</w:t>
      </w:r>
      <w:r>
        <w:t>νων στον ιδιωτικό τομέα, ο οποίος έχει πληγεί σημαντικά από αυτήν. Οι κυριότερες από τις νέες αυτές παρεμβάσεις είναι η μ</w:t>
      </w:r>
      <w:r w:rsidRPr="0036374F">
        <w:t>είωση κατά τρεις ποσοστιαίες μονάδες των ασφαλιστ</w:t>
      </w:r>
      <w:r>
        <w:t>ικών εισφορών των μισθωτών του ι</w:t>
      </w:r>
      <w:r w:rsidRPr="0036374F">
        <w:t>διωτικού τομέα</w:t>
      </w:r>
      <w:r>
        <w:t xml:space="preserve"> και η α</w:t>
      </w:r>
      <w:r w:rsidRPr="0036374F">
        <w:t xml:space="preserve">ναστολή καταβολής </w:t>
      </w:r>
      <w:r w:rsidR="00F805B9">
        <w:t xml:space="preserve">της </w:t>
      </w:r>
      <w:r w:rsidRPr="0036374F">
        <w:t xml:space="preserve">Ειδικής Εισφοράς Αλληλεγγύης </w:t>
      </w:r>
      <w:r>
        <w:t>στους εργαζόμενους του ιδιωτικού</w:t>
      </w:r>
      <w:r w:rsidRPr="0036374F">
        <w:t xml:space="preserve"> τομέα για το έ</w:t>
      </w:r>
      <w:r>
        <w:t>τος 2021.</w:t>
      </w:r>
    </w:p>
    <w:p w:rsidR="006A65DF" w:rsidRPr="0036374F" w:rsidRDefault="006A65DF" w:rsidP="006A65DF">
      <w:pPr>
        <w:contextualSpacing/>
        <w:jc w:val="both"/>
      </w:pPr>
    </w:p>
    <w:p w:rsidR="006A65DF" w:rsidRDefault="006A65DF" w:rsidP="006A65DF">
      <w:pPr>
        <w:contextualSpacing/>
        <w:jc w:val="both"/>
      </w:pPr>
      <w:r>
        <w:t xml:space="preserve">Εκτός από την αντιμετώπιση της υγειονομικής κρίσης, βασικές προτεραιότητες για το έτος </w:t>
      </w:r>
      <w:r w:rsidRPr="007E6018">
        <w:t>2021</w:t>
      </w:r>
      <w:r>
        <w:t xml:space="preserve"> αποτελούν:</w:t>
      </w:r>
    </w:p>
    <w:p w:rsidR="006A65DF" w:rsidRDefault="006A65DF" w:rsidP="006A65DF">
      <w:pPr>
        <w:contextualSpacing/>
        <w:jc w:val="both"/>
      </w:pPr>
    </w:p>
    <w:p w:rsidR="006A65DF" w:rsidRDefault="006A65DF" w:rsidP="00FE7E83">
      <w:pPr>
        <w:pStyle w:val="ListParagraph"/>
        <w:numPr>
          <w:ilvl w:val="0"/>
          <w:numId w:val="2"/>
        </w:numPr>
        <w:spacing w:line="240" w:lineRule="auto"/>
        <w:ind w:left="284" w:hanging="284"/>
        <w:jc w:val="both"/>
        <w:rPr>
          <w:rFonts w:ascii="Times New Roman" w:eastAsia="Times New Roman" w:hAnsi="Times New Roman"/>
          <w:sz w:val="24"/>
          <w:szCs w:val="24"/>
          <w:lang w:eastAsia="el-GR"/>
        </w:rPr>
      </w:pPr>
      <w:r w:rsidRPr="000C5D94">
        <w:rPr>
          <w:rFonts w:ascii="Times New Roman" w:eastAsia="Times New Roman" w:hAnsi="Times New Roman"/>
          <w:sz w:val="24"/>
          <w:szCs w:val="24"/>
          <w:lang w:eastAsia="el-GR"/>
        </w:rPr>
        <w:t xml:space="preserve">η ανάπτυξη της οικονομίας μέσω της αξιοποίησης των ευρωπαϊκών </w:t>
      </w:r>
      <w:r>
        <w:rPr>
          <w:rFonts w:ascii="Times New Roman" w:eastAsia="Times New Roman" w:hAnsi="Times New Roman"/>
          <w:sz w:val="24"/>
          <w:szCs w:val="24"/>
          <w:lang w:eastAsia="el-GR"/>
        </w:rPr>
        <w:t>πόρων</w:t>
      </w:r>
      <w:r w:rsidRPr="000C5D94">
        <w:rPr>
          <w:rFonts w:ascii="Times New Roman" w:eastAsia="Times New Roman" w:hAnsi="Times New Roman"/>
          <w:sz w:val="24"/>
          <w:szCs w:val="24"/>
          <w:lang w:eastAsia="el-GR"/>
        </w:rPr>
        <w:t xml:space="preserve"> του Μηχανισμού Ανάκαμψης και Ανθεκτικότητας (</w:t>
      </w:r>
      <w:proofErr w:type="spellStart"/>
      <w:r w:rsidRPr="000C5D94">
        <w:rPr>
          <w:rFonts w:ascii="Times New Roman" w:eastAsia="Times New Roman" w:hAnsi="Times New Roman"/>
          <w:sz w:val="24"/>
          <w:szCs w:val="24"/>
          <w:lang w:eastAsia="el-GR"/>
        </w:rPr>
        <w:t>Recovery</w:t>
      </w:r>
      <w:proofErr w:type="spellEnd"/>
      <w:r w:rsidRPr="000C5D94">
        <w:rPr>
          <w:rFonts w:ascii="Times New Roman" w:eastAsia="Times New Roman" w:hAnsi="Times New Roman"/>
          <w:sz w:val="24"/>
          <w:szCs w:val="24"/>
          <w:lang w:eastAsia="el-GR"/>
        </w:rPr>
        <w:t xml:space="preserve"> and </w:t>
      </w:r>
      <w:proofErr w:type="spellStart"/>
      <w:r w:rsidRPr="000C5D94">
        <w:rPr>
          <w:rFonts w:ascii="Times New Roman" w:eastAsia="Times New Roman" w:hAnsi="Times New Roman"/>
          <w:sz w:val="24"/>
          <w:szCs w:val="24"/>
          <w:lang w:eastAsia="el-GR"/>
        </w:rPr>
        <w:t>Resilience</w:t>
      </w:r>
      <w:proofErr w:type="spellEnd"/>
      <w:r w:rsidRPr="000C5D94">
        <w:rPr>
          <w:rFonts w:ascii="Times New Roman" w:eastAsia="Times New Roman" w:hAnsi="Times New Roman"/>
          <w:sz w:val="24"/>
          <w:szCs w:val="24"/>
          <w:lang w:eastAsia="el-GR"/>
        </w:rPr>
        <w:t xml:space="preserve"> </w:t>
      </w:r>
      <w:proofErr w:type="spellStart"/>
      <w:r w:rsidRPr="000C5D94">
        <w:rPr>
          <w:rFonts w:ascii="Times New Roman" w:eastAsia="Times New Roman" w:hAnsi="Times New Roman"/>
          <w:sz w:val="24"/>
          <w:szCs w:val="24"/>
          <w:lang w:eastAsia="el-GR"/>
        </w:rPr>
        <w:t>Facility</w:t>
      </w:r>
      <w:proofErr w:type="spellEnd"/>
      <w:r w:rsidRPr="000C5D94">
        <w:rPr>
          <w:rFonts w:ascii="Times New Roman" w:eastAsia="Times New Roman" w:hAnsi="Times New Roman"/>
          <w:sz w:val="24"/>
          <w:szCs w:val="24"/>
          <w:lang w:eastAsia="el-GR"/>
        </w:rPr>
        <w:t>)</w:t>
      </w:r>
      <w:r>
        <w:rPr>
          <w:rFonts w:ascii="Times New Roman" w:eastAsia="Times New Roman" w:hAnsi="Times New Roman"/>
          <w:sz w:val="24"/>
          <w:szCs w:val="24"/>
          <w:lang w:eastAsia="el-GR"/>
        </w:rPr>
        <w:t>,</w:t>
      </w:r>
      <w:r w:rsidRPr="000C5D94">
        <w:rPr>
          <w:rFonts w:ascii="Times New Roman" w:eastAsia="Times New Roman" w:hAnsi="Times New Roman"/>
          <w:sz w:val="24"/>
          <w:szCs w:val="24"/>
          <w:lang w:eastAsia="el-GR"/>
        </w:rPr>
        <w:t xml:space="preserve"> </w:t>
      </w:r>
    </w:p>
    <w:p w:rsidR="006A65DF" w:rsidRPr="000C5D94" w:rsidRDefault="006A65DF" w:rsidP="00FE7E83">
      <w:pPr>
        <w:pStyle w:val="ListParagraph"/>
        <w:numPr>
          <w:ilvl w:val="0"/>
          <w:numId w:val="2"/>
        </w:numPr>
        <w:spacing w:line="240" w:lineRule="auto"/>
        <w:ind w:left="284" w:hanging="284"/>
        <w:jc w:val="both"/>
        <w:rPr>
          <w:rFonts w:ascii="Times New Roman" w:eastAsia="Times New Roman" w:hAnsi="Times New Roman"/>
          <w:sz w:val="24"/>
          <w:szCs w:val="24"/>
          <w:lang w:eastAsia="el-GR"/>
        </w:rPr>
      </w:pPr>
      <w:r w:rsidRPr="000C5D94">
        <w:rPr>
          <w:rFonts w:ascii="Times New Roman" w:eastAsia="Times New Roman" w:hAnsi="Times New Roman"/>
          <w:sz w:val="24"/>
          <w:szCs w:val="24"/>
          <w:lang w:eastAsia="el-GR"/>
        </w:rPr>
        <w:t xml:space="preserve">η ενίσχυση των ενόπλων δυνάμεων, με την αύξηση των δαπανών και των φυσικών παραλαβών εξοπλιστικών συστημάτων, </w:t>
      </w:r>
    </w:p>
    <w:p w:rsidR="006A65DF" w:rsidRPr="000C5D94" w:rsidRDefault="006A65DF" w:rsidP="00FE7E83">
      <w:pPr>
        <w:pStyle w:val="ListParagraph"/>
        <w:numPr>
          <w:ilvl w:val="0"/>
          <w:numId w:val="2"/>
        </w:numPr>
        <w:spacing w:line="240" w:lineRule="auto"/>
        <w:ind w:left="284" w:hanging="284"/>
        <w:jc w:val="both"/>
        <w:rPr>
          <w:rFonts w:ascii="Times New Roman" w:eastAsia="Times New Roman" w:hAnsi="Times New Roman"/>
          <w:sz w:val="24"/>
          <w:szCs w:val="24"/>
          <w:lang w:eastAsia="el-GR"/>
        </w:rPr>
      </w:pPr>
      <w:r w:rsidRPr="00653880">
        <w:rPr>
          <w:rFonts w:ascii="Times New Roman" w:eastAsia="Times New Roman" w:hAnsi="Times New Roman"/>
          <w:sz w:val="24"/>
          <w:szCs w:val="24"/>
          <w:lang w:eastAsia="el-GR"/>
        </w:rPr>
        <w:t>η στήριξη των ευάλωτων κοινωνικών ομάδων, μέσω της αύξησης των καταβαλλόμενων επιδομάτων από τ</w:t>
      </w:r>
      <w:r>
        <w:rPr>
          <w:rFonts w:ascii="Times New Roman" w:eastAsia="Times New Roman" w:hAnsi="Times New Roman"/>
          <w:sz w:val="24"/>
          <w:szCs w:val="24"/>
          <w:lang w:eastAsia="el-GR"/>
        </w:rPr>
        <w:t>ο</w:t>
      </w:r>
      <w:r w:rsidRPr="00653880">
        <w:rPr>
          <w:rFonts w:ascii="Times New Roman" w:eastAsia="Times New Roman" w:hAnsi="Times New Roman"/>
          <w:sz w:val="24"/>
          <w:szCs w:val="24"/>
          <w:lang w:eastAsia="el-GR"/>
        </w:rPr>
        <w:t>ν ΟΠΕΚΑ</w:t>
      </w:r>
      <w:r>
        <w:rPr>
          <w:rFonts w:ascii="Times New Roman" w:eastAsia="Times New Roman" w:hAnsi="Times New Roman"/>
          <w:sz w:val="24"/>
          <w:szCs w:val="24"/>
          <w:lang w:eastAsia="el-GR"/>
        </w:rPr>
        <w:t>,</w:t>
      </w:r>
    </w:p>
    <w:p w:rsidR="006A65DF" w:rsidRPr="00653880" w:rsidRDefault="006A65DF" w:rsidP="00FE7E83">
      <w:pPr>
        <w:pStyle w:val="ListParagraph"/>
        <w:numPr>
          <w:ilvl w:val="0"/>
          <w:numId w:val="2"/>
        </w:numPr>
        <w:spacing w:line="240" w:lineRule="auto"/>
        <w:ind w:left="284" w:hanging="284"/>
        <w:jc w:val="both"/>
      </w:pPr>
      <w:r w:rsidRPr="00653880">
        <w:rPr>
          <w:rFonts w:ascii="Times New Roman" w:eastAsia="Times New Roman" w:hAnsi="Times New Roman"/>
          <w:sz w:val="24"/>
          <w:szCs w:val="24"/>
          <w:lang w:eastAsia="el-GR"/>
        </w:rPr>
        <w:t>η στήριξη των παιδείας, μέσω της πρόσληψης μεγάλου αριθμού μ</w:t>
      </w:r>
      <w:r>
        <w:rPr>
          <w:rFonts w:ascii="Times New Roman" w:eastAsia="Times New Roman" w:hAnsi="Times New Roman"/>
          <w:sz w:val="24"/>
          <w:szCs w:val="24"/>
          <w:lang w:eastAsia="el-GR"/>
        </w:rPr>
        <w:t>ονί</w:t>
      </w:r>
      <w:r w:rsidRPr="00653880">
        <w:rPr>
          <w:rFonts w:ascii="Times New Roman" w:eastAsia="Times New Roman" w:hAnsi="Times New Roman"/>
          <w:sz w:val="24"/>
          <w:szCs w:val="24"/>
          <w:lang w:eastAsia="el-GR"/>
        </w:rPr>
        <w:t>μων εκπαιδευτικών,</w:t>
      </w:r>
    </w:p>
    <w:p w:rsidR="006A65DF" w:rsidRPr="00653880" w:rsidRDefault="006A65DF" w:rsidP="00FE7E83">
      <w:pPr>
        <w:pStyle w:val="ListParagraph"/>
        <w:numPr>
          <w:ilvl w:val="0"/>
          <w:numId w:val="2"/>
        </w:numPr>
        <w:spacing w:line="240" w:lineRule="auto"/>
        <w:ind w:left="284" w:hanging="284"/>
        <w:jc w:val="both"/>
      </w:pPr>
      <w:r w:rsidRPr="00653880">
        <w:rPr>
          <w:rFonts w:ascii="Times New Roman" w:eastAsia="Times New Roman" w:hAnsi="Times New Roman"/>
          <w:sz w:val="24"/>
          <w:szCs w:val="24"/>
          <w:lang w:eastAsia="el-GR"/>
        </w:rPr>
        <w:t>η αποτελεσματικότερη αντιμετώπιση των μεταναστευτικών ροών, μέσω της αύξησης των σχετικών δαπανών (οι οποίες εξαιρούνται κατά τον υπολογισμό του δημοσιονομικού αποτελέσματος σε όρους ενισχυμένης εποπτείας)</w:t>
      </w:r>
      <w:r>
        <w:rPr>
          <w:rFonts w:ascii="Times New Roman" w:eastAsia="Times New Roman" w:hAnsi="Times New Roman"/>
          <w:sz w:val="24"/>
          <w:szCs w:val="24"/>
          <w:lang w:eastAsia="el-GR"/>
        </w:rPr>
        <w:t>,</w:t>
      </w:r>
      <w:r w:rsidRPr="00653880">
        <w:rPr>
          <w:rFonts w:ascii="Times New Roman" w:eastAsia="Times New Roman" w:hAnsi="Times New Roman"/>
          <w:sz w:val="24"/>
          <w:szCs w:val="24"/>
          <w:lang w:eastAsia="el-GR"/>
        </w:rPr>
        <w:t xml:space="preserve"> </w:t>
      </w:r>
    </w:p>
    <w:p w:rsidR="006A65DF" w:rsidRPr="00653880" w:rsidRDefault="006A65DF" w:rsidP="00FE7E83">
      <w:pPr>
        <w:pStyle w:val="ListParagraph"/>
        <w:numPr>
          <w:ilvl w:val="0"/>
          <w:numId w:val="2"/>
        </w:numPr>
        <w:spacing w:line="240" w:lineRule="auto"/>
        <w:ind w:left="284" w:hanging="284"/>
        <w:jc w:val="both"/>
      </w:pPr>
      <w:r w:rsidRPr="00653880">
        <w:rPr>
          <w:rFonts w:ascii="Times New Roman" w:eastAsia="Times New Roman" w:hAnsi="Times New Roman"/>
          <w:sz w:val="24"/>
          <w:szCs w:val="24"/>
          <w:lang w:eastAsia="el-GR"/>
        </w:rPr>
        <w:t>η εφαρμογή του νέου πτωχευτικού κώδικα,</w:t>
      </w:r>
    </w:p>
    <w:p w:rsidR="006A65DF" w:rsidRPr="00653880" w:rsidRDefault="006A65DF" w:rsidP="00FE7E83">
      <w:pPr>
        <w:pStyle w:val="ListParagraph"/>
        <w:numPr>
          <w:ilvl w:val="0"/>
          <w:numId w:val="2"/>
        </w:numPr>
        <w:spacing w:line="240" w:lineRule="auto"/>
        <w:ind w:left="284" w:hanging="284"/>
        <w:jc w:val="both"/>
      </w:pPr>
      <w:r w:rsidRPr="00653880">
        <w:rPr>
          <w:rFonts w:ascii="Times New Roman" w:eastAsia="Times New Roman" w:hAnsi="Times New Roman"/>
          <w:sz w:val="24"/>
          <w:szCs w:val="24"/>
          <w:lang w:eastAsia="el-GR"/>
        </w:rPr>
        <w:t>η ενίσχυση των κατοίκων των μικρών και απομακρυσμένων νησιών με την κατάργηση του ΕΝΦΙΑ</w:t>
      </w:r>
      <w:r>
        <w:rPr>
          <w:rFonts w:ascii="Times New Roman" w:eastAsia="Times New Roman" w:hAnsi="Times New Roman"/>
          <w:sz w:val="24"/>
          <w:szCs w:val="24"/>
          <w:lang w:eastAsia="el-GR"/>
        </w:rPr>
        <w:t>,</w:t>
      </w:r>
      <w:r w:rsidRPr="00653880">
        <w:rPr>
          <w:rFonts w:ascii="Times New Roman" w:eastAsia="Times New Roman" w:hAnsi="Times New Roman"/>
          <w:sz w:val="24"/>
          <w:szCs w:val="24"/>
          <w:lang w:eastAsia="el-GR"/>
        </w:rPr>
        <w:t xml:space="preserve"> </w:t>
      </w:r>
    </w:p>
    <w:p w:rsidR="006A65DF" w:rsidRPr="00653880" w:rsidRDefault="006A65DF" w:rsidP="00FE7E83">
      <w:pPr>
        <w:pStyle w:val="ListParagraph"/>
        <w:numPr>
          <w:ilvl w:val="0"/>
          <w:numId w:val="2"/>
        </w:numPr>
        <w:spacing w:line="240" w:lineRule="auto"/>
        <w:ind w:left="284" w:hanging="284"/>
        <w:jc w:val="both"/>
      </w:pPr>
      <w:r w:rsidRPr="00653880">
        <w:rPr>
          <w:rFonts w:ascii="Times New Roman" w:eastAsia="Times New Roman" w:hAnsi="Times New Roman"/>
          <w:sz w:val="24"/>
          <w:szCs w:val="24"/>
          <w:lang w:eastAsia="el-GR"/>
        </w:rPr>
        <w:t xml:space="preserve">η </w:t>
      </w:r>
      <w:r>
        <w:rPr>
          <w:rFonts w:ascii="Times New Roman" w:eastAsia="Times New Roman" w:hAnsi="Times New Roman"/>
          <w:sz w:val="24"/>
          <w:szCs w:val="24"/>
          <w:lang w:eastAsia="el-GR"/>
        </w:rPr>
        <w:t xml:space="preserve">συνέχιση της </w:t>
      </w:r>
      <w:r w:rsidRPr="00653880">
        <w:rPr>
          <w:rFonts w:ascii="Times New Roman" w:eastAsia="Times New Roman" w:hAnsi="Times New Roman"/>
          <w:sz w:val="24"/>
          <w:szCs w:val="24"/>
          <w:lang w:eastAsia="el-GR"/>
        </w:rPr>
        <w:t>επισκόπηση</w:t>
      </w:r>
      <w:r>
        <w:rPr>
          <w:rFonts w:ascii="Times New Roman" w:eastAsia="Times New Roman" w:hAnsi="Times New Roman"/>
          <w:sz w:val="24"/>
          <w:szCs w:val="24"/>
          <w:lang w:eastAsia="el-GR"/>
        </w:rPr>
        <w:t>ς</w:t>
      </w:r>
      <w:r w:rsidRPr="00653880">
        <w:rPr>
          <w:rFonts w:ascii="Times New Roman" w:eastAsia="Times New Roman" w:hAnsi="Times New Roman"/>
          <w:sz w:val="24"/>
          <w:szCs w:val="24"/>
          <w:lang w:eastAsia="el-GR"/>
        </w:rPr>
        <w:t xml:space="preserve"> δαπανών στο σύνολο της Γενικής Κυβέρνησης</w:t>
      </w:r>
      <w:r w:rsidR="00245C2D">
        <w:rPr>
          <w:rFonts w:ascii="Times New Roman" w:eastAsia="Times New Roman" w:hAnsi="Times New Roman"/>
          <w:sz w:val="24"/>
          <w:szCs w:val="24"/>
          <w:lang w:eastAsia="el-GR"/>
        </w:rPr>
        <w:t>,</w:t>
      </w:r>
      <w:r w:rsidRPr="00653880">
        <w:rPr>
          <w:rFonts w:ascii="Times New Roman" w:eastAsia="Times New Roman" w:hAnsi="Times New Roman"/>
          <w:sz w:val="24"/>
          <w:szCs w:val="24"/>
          <w:lang w:eastAsia="el-GR"/>
        </w:rPr>
        <w:t xml:space="preserve"> προκειμένου να δημιουργηθεί δημοσιονομικός χώρος για την εφαρμογή δράσεων με προσανατολισμό στην οικονομική ανάπτυξη</w:t>
      </w:r>
      <w:r w:rsidR="006957EC">
        <w:rPr>
          <w:rFonts w:ascii="Times New Roman" w:eastAsia="Times New Roman" w:hAnsi="Times New Roman"/>
          <w:sz w:val="24"/>
          <w:szCs w:val="24"/>
          <w:lang w:eastAsia="el-GR"/>
        </w:rPr>
        <w:t xml:space="preserve"> και την αύξηση των κοινωνικών παροχών</w:t>
      </w:r>
      <w:r w:rsidR="009968E1">
        <w:rPr>
          <w:rFonts w:ascii="Times New Roman" w:eastAsia="Times New Roman" w:hAnsi="Times New Roman"/>
          <w:sz w:val="24"/>
          <w:szCs w:val="24"/>
          <w:lang w:eastAsia="el-GR"/>
        </w:rPr>
        <w:t xml:space="preserve"> και</w:t>
      </w:r>
    </w:p>
    <w:p w:rsidR="006A65DF" w:rsidRPr="00653880" w:rsidRDefault="006A65DF" w:rsidP="00FE7E83">
      <w:pPr>
        <w:pStyle w:val="ListParagraph"/>
        <w:numPr>
          <w:ilvl w:val="0"/>
          <w:numId w:val="2"/>
        </w:numPr>
        <w:spacing w:line="240" w:lineRule="auto"/>
        <w:ind w:left="284" w:hanging="284"/>
        <w:jc w:val="both"/>
        <w:rPr>
          <w:rFonts w:ascii="Times New Roman" w:eastAsia="Times New Roman" w:hAnsi="Times New Roman"/>
          <w:sz w:val="24"/>
          <w:szCs w:val="24"/>
          <w:lang w:eastAsia="el-GR"/>
        </w:rPr>
      </w:pPr>
      <w:r w:rsidRPr="00653880">
        <w:rPr>
          <w:rFonts w:ascii="Times New Roman" w:eastAsia="Times New Roman" w:hAnsi="Times New Roman"/>
          <w:sz w:val="24"/>
          <w:szCs w:val="24"/>
          <w:lang w:eastAsia="el-GR"/>
        </w:rPr>
        <w:t>η συνέχιση του προγράμματος αποκρατικοποιήσεων.</w:t>
      </w:r>
    </w:p>
    <w:p w:rsidR="00245C2D" w:rsidRDefault="00245C2D" w:rsidP="00245C2D">
      <w:pPr>
        <w:contextualSpacing/>
        <w:jc w:val="both"/>
      </w:pPr>
    </w:p>
    <w:p w:rsidR="00245C2D" w:rsidRDefault="00245C2D" w:rsidP="00245C2D">
      <w:pPr>
        <w:contextualSpacing/>
        <w:jc w:val="both"/>
      </w:pPr>
      <w:r w:rsidRPr="005352B5">
        <w:t>Για το έτος 202</w:t>
      </w:r>
      <w:r w:rsidRPr="00497858">
        <w:t>1</w:t>
      </w:r>
      <w:r w:rsidRPr="005352B5">
        <w:t>, το πρωτογενές αποτέλεσμα της Γενικής Κυβέρνησης σε όρους Ενισχυμένης Εποπτείας</w:t>
      </w:r>
      <w:r>
        <w:t>,</w:t>
      </w:r>
      <w:r w:rsidRPr="00497858">
        <w:t xml:space="preserve"> </w:t>
      </w:r>
      <w:r w:rsidRPr="005352B5">
        <w:t xml:space="preserve">προβλέπεται να διαμορφωθεί σε </w:t>
      </w:r>
      <w:r>
        <w:t>έλλειμμα ύψους 1.862</w:t>
      </w:r>
      <w:r w:rsidRPr="005352B5">
        <w:t xml:space="preserve"> εκατ. ευρώ ή </w:t>
      </w:r>
      <w:r>
        <w:t xml:space="preserve">1,01% του </w:t>
      </w:r>
      <w:r w:rsidRPr="0065415A">
        <w:t>ΑΕΠ.</w:t>
      </w:r>
      <w:r>
        <w:t xml:space="preserve"> </w:t>
      </w:r>
      <w:r w:rsidRPr="005352B5">
        <w:t xml:space="preserve">Αντίστοιχα, σε δημοσιονομική βάση το πρωτογενές αποτέλεσμα της Γενικής Κυβέρνησης προβλέπεται να διαμορφωθεί σε </w:t>
      </w:r>
      <w:r>
        <w:t>έλλειμμα ύψους 2.083</w:t>
      </w:r>
      <w:r w:rsidRPr="005352B5">
        <w:t xml:space="preserve"> εκατ. ευρώ ή </w:t>
      </w:r>
      <w:r>
        <w:t>1,1</w:t>
      </w:r>
      <w:r w:rsidRPr="005352B5">
        <w:t>% του ΑΕΠ.</w:t>
      </w:r>
    </w:p>
    <w:p w:rsidR="000A1A50" w:rsidRDefault="000A1A50" w:rsidP="00245C2D">
      <w:pPr>
        <w:contextualSpacing/>
        <w:jc w:val="both"/>
      </w:pPr>
    </w:p>
    <w:p w:rsidR="003D49BC" w:rsidRDefault="003D49BC" w:rsidP="00245C2D">
      <w:pPr>
        <w:contextualSpacing/>
        <w:jc w:val="both"/>
      </w:pPr>
    </w:p>
    <w:p w:rsidR="000A1A50" w:rsidRPr="00EC0819" w:rsidRDefault="000A1A50" w:rsidP="00245C2D">
      <w:pPr>
        <w:contextualSpacing/>
        <w:jc w:val="both"/>
      </w:pPr>
    </w:p>
    <w:p w:rsidR="00245C2D" w:rsidRDefault="00245C2D" w:rsidP="00C35978">
      <w:pPr>
        <w:contextualSpacing/>
      </w:pPr>
    </w:p>
    <w:p w:rsidR="00245C2D" w:rsidRPr="00331672" w:rsidRDefault="00245C2D" w:rsidP="00245C2D">
      <w:pPr>
        <w:contextualSpacing/>
        <w:jc w:val="both"/>
        <w:rPr>
          <w:rFonts w:ascii="Arial Narrow" w:hAnsi="Arial Narrow"/>
          <w:b/>
          <w:color w:val="000080"/>
        </w:rPr>
      </w:pPr>
      <w:r>
        <w:rPr>
          <w:rFonts w:ascii="Arial Narrow" w:hAnsi="Arial Narrow"/>
          <w:b/>
          <w:color w:val="000080"/>
        </w:rPr>
        <w:lastRenderedPageBreak/>
        <w:t>2.1</w:t>
      </w:r>
      <w:r w:rsidRPr="00331672">
        <w:rPr>
          <w:rFonts w:ascii="Arial Narrow" w:hAnsi="Arial Narrow"/>
          <w:b/>
          <w:color w:val="000080"/>
        </w:rPr>
        <w:tab/>
        <w:t>Κρατικός Προϋπολογισμός</w:t>
      </w:r>
    </w:p>
    <w:p w:rsidR="00245C2D" w:rsidRPr="00331672" w:rsidRDefault="00245C2D" w:rsidP="00C35978">
      <w:pPr>
        <w:contextualSpacing/>
      </w:pPr>
    </w:p>
    <w:p w:rsidR="00C35978" w:rsidRPr="00331672" w:rsidRDefault="00C35978" w:rsidP="00C35978">
      <w:pPr>
        <w:keepNext/>
        <w:contextualSpacing/>
        <w:jc w:val="both"/>
        <w:outlineLvl w:val="5"/>
        <w:rPr>
          <w:rFonts w:ascii="Arial Narrow" w:hAnsi="Arial Narrow"/>
          <w:b/>
          <w:color w:val="000080"/>
          <w:sz w:val="18"/>
          <w:szCs w:val="22"/>
        </w:rPr>
      </w:pPr>
      <w:r w:rsidRPr="00331672">
        <w:rPr>
          <w:rFonts w:ascii="Arial Narrow" w:hAnsi="Arial Narrow"/>
          <w:b/>
          <w:color w:val="000080"/>
          <w:szCs w:val="22"/>
        </w:rPr>
        <w:t xml:space="preserve">Έσοδα </w:t>
      </w:r>
    </w:p>
    <w:p w:rsidR="00331672" w:rsidRDefault="00331672" w:rsidP="00331672">
      <w:pPr>
        <w:contextualSpacing/>
        <w:jc w:val="both"/>
        <w:rPr>
          <w:bCs/>
        </w:rPr>
      </w:pPr>
    </w:p>
    <w:p w:rsidR="00331672" w:rsidRDefault="00331672" w:rsidP="00331672">
      <w:pPr>
        <w:contextualSpacing/>
        <w:jc w:val="both"/>
        <w:rPr>
          <w:bCs/>
        </w:rPr>
      </w:pPr>
      <w:r w:rsidRPr="004F40E8">
        <w:rPr>
          <w:bCs/>
        </w:rPr>
        <w:t xml:space="preserve">Τα καθαρά έσοδα του </w:t>
      </w:r>
      <w:r>
        <w:rPr>
          <w:bCs/>
        </w:rPr>
        <w:t xml:space="preserve">Κρατικού Προϋπολογισμού, </w:t>
      </w:r>
      <w:r w:rsidRPr="004F40E8">
        <w:rPr>
          <w:bCs/>
        </w:rPr>
        <w:t xml:space="preserve">σε </w:t>
      </w:r>
      <w:r>
        <w:rPr>
          <w:bCs/>
        </w:rPr>
        <w:t>δημοσιονομική</w:t>
      </w:r>
      <w:r w:rsidRPr="004F40E8">
        <w:rPr>
          <w:bCs/>
        </w:rPr>
        <w:t xml:space="preserve"> βάση</w:t>
      </w:r>
      <w:r>
        <w:rPr>
          <w:bCs/>
        </w:rPr>
        <w:t>,</w:t>
      </w:r>
      <w:r w:rsidRPr="004F40E8">
        <w:rPr>
          <w:bCs/>
        </w:rPr>
        <w:t xml:space="preserve"> προβλέπεται να διαμορφωθούν στα </w:t>
      </w:r>
      <w:r w:rsidRPr="0088784D">
        <w:rPr>
          <w:bCs/>
        </w:rPr>
        <w:t>53.</w:t>
      </w:r>
      <w:r>
        <w:rPr>
          <w:bCs/>
        </w:rPr>
        <w:t>705</w:t>
      </w:r>
      <w:r w:rsidRPr="004F40E8">
        <w:rPr>
          <w:bCs/>
        </w:rPr>
        <w:t xml:space="preserve"> εκατ. ευρώ,</w:t>
      </w:r>
      <w:r>
        <w:rPr>
          <w:bCs/>
        </w:rPr>
        <w:t xml:space="preserve"> αυξημένα</w:t>
      </w:r>
      <w:r w:rsidRPr="004F40E8">
        <w:rPr>
          <w:bCs/>
        </w:rPr>
        <w:t xml:space="preserve"> κατά </w:t>
      </w:r>
      <w:r>
        <w:rPr>
          <w:bCs/>
        </w:rPr>
        <w:t>3.558</w:t>
      </w:r>
      <w:r w:rsidRPr="004F40E8">
        <w:rPr>
          <w:bCs/>
        </w:rPr>
        <w:t xml:space="preserve"> εκατ. ευρώ ή </w:t>
      </w:r>
      <w:r>
        <w:rPr>
          <w:bCs/>
        </w:rPr>
        <w:t>7,1</w:t>
      </w:r>
      <w:r w:rsidR="00245C2D">
        <w:rPr>
          <w:bCs/>
        </w:rPr>
        <w:t>%</w:t>
      </w:r>
      <w:r w:rsidRPr="004F40E8">
        <w:rPr>
          <w:bCs/>
        </w:rPr>
        <w:t xml:space="preserve"> ένα</w:t>
      </w:r>
      <w:r>
        <w:rPr>
          <w:bCs/>
        </w:rPr>
        <w:t>ντι των εκτιμήσεων του 2020</w:t>
      </w:r>
      <w:r w:rsidRPr="004F40E8">
        <w:rPr>
          <w:bCs/>
        </w:rPr>
        <w:t>.</w:t>
      </w:r>
      <w:r>
        <w:rPr>
          <w:bCs/>
        </w:rPr>
        <w:t xml:space="preserve"> </w:t>
      </w:r>
    </w:p>
    <w:p w:rsidR="00331672" w:rsidRPr="004F40E8" w:rsidRDefault="00331672" w:rsidP="00331672">
      <w:pPr>
        <w:contextualSpacing/>
        <w:jc w:val="both"/>
        <w:rPr>
          <w:bCs/>
        </w:rPr>
      </w:pPr>
    </w:p>
    <w:p w:rsidR="00331672" w:rsidRPr="004F40E8" w:rsidRDefault="00331672" w:rsidP="00331672">
      <w:pPr>
        <w:contextualSpacing/>
        <w:jc w:val="both"/>
        <w:rPr>
          <w:bCs/>
        </w:rPr>
      </w:pPr>
      <w:r w:rsidRPr="004F40E8">
        <w:rPr>
          <w:bCs/>
        </w:rPr>
        <w:t>Ειδικότερα:</w:t>
      </w:r>
    </w:p>
    <w:p w:rsidR="00331672" w:rsidRPr="004F40E8" w:rsidRDefault="00331672" w:rsidP="00331672">
      <w:pPr>
        <w:contextualSpacing/>
        <w:jc w:val="both"/>
        <w:rPr>
          <w:bCs/>
        </w:rPr>
      </w:pPr>
    </w:p>
    <w:p w:rsidR="00331672" w:rsidRDefault="00331672" w:rsidP="00FE7E83">
      <w:pPr>
        <w:numPr>
          <w:ilvl w:val="0"/>
          <w:numId w:val="1"/>
        </w:numPr>
        <w:contextualSpacing/>
        <w:jc w:val="both"/>
        <w:rPr>
          <w:bCs/>
        </w:rPr>
      </w:pPr>
      <w:r w:rsidRPr="004F3554">
        <w:rPr>
          <w:bCs/>
        </w:rPr>
        <w:t>οι φόροι επί αγαθών και υπηρεσιών προβλέπεται να ανέλθουν στο ποσό των 27.</w:t>
      </w:r>
      <w:r>
        <w:rPr>
          <w:bCs/>
        </w:rPr>
        <w:t>473 εκατ. ευρώ, αυξη</w:t>
      </w:r>
      <w:r w:rsidRPr="004F3554">
        <w:rPr>
          <w:bCs/>
        </w:rPr>
        <w:t>μένοι κατά 3</w:t>
      </w:r>
      <w:r>
        <w:rPr>
          <w:bCs/>
        </w:rPr>
        <w:t>.537</w:t>
      </w:r>
      <w:r w:rsidRPr="004F3554">
        <w:rPr>
          <w:bCs/>
        </w:rPr>
        <w:t xml:space="preserve"> εκατ. ευρώ έναντι των εκτιμήσεων</w:t>
      </w:r>
      <w:r>
        <w:rPr>
          <w:bCs/>
        </w:rPr>
        <w:t xml:space="preserve"> του 2020</w:t>
      </w:r>
      <w:r w:rsidRPr="004F3554">
        <w:rPr>
          <w:bCs/>
        </w:rPr>
        <w:t xml:space="preserve">, </w:t>
      </w:r>
    </w:p>
    <w:p w:rsidR="00331672" w:rsidRDefault="00331672" w:rsidP="00FE7E83">
      <w:pPr>
        <w:numPr>
          <w:ilvl w:val="0"/>
          <w:numId w:val="1"/>
        </w:numPr>
        <w:contextualSpacing/>
        <w:jc w:val="both"/>
        <w:rPr>
          <w:bCs/>
        </w:rPr>
      </w:pPr>
      <w:r>
        <w:rPr>
          <w:bCs/>
        </w:rPr>
        <w:t>οι φόροι και δασμοί επί εισαγωγών προβλέπεται να διαμορφωθούν στο ποσό των 293 εκατ. ευρώ, αυξημένοι κατά 51 εκατ. ευρώ έναντι των εκτιμήσεων του 2020,</w:t>
      </w:r>
    </w:p>
    <w:p w:rsidR="00331672" w:rsidRPr="004F3554" w:rsidRDefault="00331672" w:rsidP="00FE7E83">
      <w:pPr>
        <w:numPr>
          <w:ilvl w:val="0"/>
          <w:numId w:val="1"/>
        </w:numPr>
        <w:contextualSpacing/>
        <w:jc w:val="both"/>
        <w:rPr>
          <w:bCs/>
        </w:rPr>
      </w:pPr>
      <w:r w:rsidRPr="004F3554">
        <w:rPr>
          <w:bCs/>
        </w:rPr>
        <w:t>οι τακτικοί φόροι ακίνητης περιουσίας προβλέπονται σε 2.</w:t>
      </w:r>
      <w:r>
        <w:rPr>
          <w:bCs/>
        </w:rPr>
        <w:t xml:space="preserve">688 εκατ. ευρώ, μειωμένοι κατά </w:t>
      </w:r>
      <w:r w:rsidRPr="004F3554">
        <w:rPr>
          <w:bCs/>
        </w:rPr>
        <w:t>2 εκατ. ευρώ έναντι των εκτιμήσεων του 20</w:t>
      </w:r>
      <w:r>
        <w:rPr>
          <w:bCs/>
        </w:rPr>
        <w:t>20</w:t>
      </w:r>
      <w:r w:rsidRPr="004F3554">
        <w:rPr>
          <w:bCs/>
        </w:rPr>
        <w:t>,</w:t>
      </w:r>
    </w:p>
    <w:p w:rsidR="00331672" w:rsidRDefault="00331672" w:rsidP="00FE7E83">
      <w:pPr>
        <w:numPr>
          <w:ilvl w:val="0"/>
          <w:numId w:val="1"/>
        </w:numPr>
        <w:contextualSpacing/>
        <w:jc w:val="both"/>
        <w:rPr>
          <w:bCs/>
        </w:rPr>
      </w:pPr>
      <w:r>
        <w:rPr>
          <w:bCs/>
        </w:rPr>
        <w:t>οι λοιποί φόροι επί παραγωγής προβλέπεται να ανέλθουν σε 1.149 εκατ. ευρώ, μειωμένοι κατά 57 εκατ. ευρώ έναντι των εκτιμήσεων του 2020,</w:t>
      </w:r>
    </w:p>
    <w:p w:rsidR="00331672" w:rsidRDefault="00331672" w:rsidP="00FE7E83">
      <w:pPr>
        <w:numPr>
          <w:ilvl w:val="0"/>
          <w:numId w:val="1"/>
        </w:numPr>
        <w:contextualSpacing/>
        <w:jc w:val="both"/>
        <w:rPr>
          <w:bCs/>
        </w:rPr>
      </w:pPr>
      <w:r>
        <w:rPr>
          <w:bCs/>
        </w:rPr>
        <w:t>ο φόρος εισοδήματος προβλέπεται να</w:t>
      </w:r>
      <w:r w:rsidRPr="001121C3">
        <w:rPr>
          <w:bCs/>
        </w:rPr>
        <w:t xml:space="preserve"> διαμορφωθ</w:t>
      </w:r>
      <w:r>
        <w:rPr>
          <w:bCs/>
        </w:rPr>
        <w:t>εί</w:t>
      </w:r>
      <w:r w:rsidRPr="001121C3">
        <w:rPr>
          <w:bCs/>
        </w:rPr>
        <w:t xml:space="preserve"> στο ποσό των </w:t>
      </w:r>
      <w:r>
        <w:rPr>
          <w:bCs/>
        </w:rPr>
        <w:t>15.199 εκατ. ευρώ, αυξημένος κατά 1.256 εκατ. ευρώ έναντι των εκτιμήσεων του 2020,</w:t>
      </w:r>
    </w:p>
    <w:p w:rsidR="00331672" w:rsidRPr="00D67A91" w:rsidRDefault="00331672" w:rsidP="00FE7E83">
      <w:pPr>
        <w:numPr>
          <w:ilvl w:val="0"/>
          <w:numId w:val="1"/>
        </w:numPr>
        <w:contextualSpacing/>
        <w:jc w:val="both"/>
        <w:rPr>
          <w:bCs/>
        </w:rPr>
      </w:pPr>
      <w:r>
        <w:rPr>
          <w:bCs/>
        </w:rPr>
        <w:t>οι φόροι κεφαλαίου προβλέπεται να ανέλθουν στο ποσό των 246 εκατ. ευρώ, αυξημένοι κατά 76 εκατ. ευρώ έναντι των εκτιμήσεων του 2020,</w:t>
      </w:r>
    </w:p>
    <w:p w:rsidR="00331672" w:rsidRDefault="00331672" w:rsidP="00FE7E83">
      <w:pPr>
        <w:numPr>
          <w:ilvl w:val="0"/>
          <w:numId w:val="1"/>
        </w:numPr>
        <w:contextualSpacing/>
        <w:jc w:val="both"/>
        <w:rPr>
          <w:bCs/>
        </w:rPr>
      </w:pPr>
      <w:r>
        <w:rPr>
          <w:bCs/>
        </w:rPr>
        <w:t>οι λοιποί τρέχοντες φόροι προβλέπονται στο ποσό των 2.498 εκατ. ευρώ, αυξημένοι κατά 91 εκατ. ευρώ έναντι των εκτιμήσεων του 2020,</w:t>
      </w:r>
    </w:p>
    <w:p w:rsidR="00331672" w:rsidRPr="00D67A91" w:rsidRDefault="00331672" w:rsidP="00FE7E83">
      <w:pPr>
        <w:numPr>
          <w:ilvl w:val="0"/>
          <w:numId w:val="1"/>
        </w:numPr>
        <w:contextualSpacing/>
        <w:jc w:val="both"/>
        <w:rPr>
          <w:bCs/>
        </w:rPr>
      </w:pPr>
      <w:r>
        <w:rPr>
          <w:bCs/>
        </w:rPr>
        <w:t xml:space="preserve">οι κοινωνικές εισφορές προβλέπονται στο ποσό των 54 εκατ. ευρώ, μη παρουσιάζοντας </w:t>
      </w:r>
      <w:r w:rsidR="00F805B9">
        <w:rPr>
          <w:bCs/>
        </w:rPr>
        <w:t xml:space="preserve">διαφοροποίηση </w:t>
      </w:r>
      <w:r>
        <w:rPr>
          <w:bCs/>
        </w:rPr>
        <w:t>έναντι των εκτιμήσεων του 2020,</w:t>
      </w:r>
    </w:p>
    <w:p w:rsidR="00331672" w:rsidRDefault="00331672" w:rsidP="00FE7E83">
      <w:pPr>
        <w:numPr>
          <w:ilvl w:val="0"/>
          <w:numId w:val="1"/>
        </w:numPr>
        <w:contextualSpacing/>
        <w:jc w:val="both"/>
        <w:rPr>
          <w:bCs/>
        </w:rPr>
      </w:pPr>
      <w:r>
        <w:rPr>
          <w:bCs/>
        </w:rPr>
        <w:t>οι μεταβιβάσεις προβλέπεται να διαμορφωθούν σε 6.647 εκατ. ευρώ, μειωμέν</w:t>
      </w:r>
      <w:r w:rsidRPr="0054715E">
        <w:rPr>
          <w:bCs/>
        </w:rPr>
        <w:t>ες</w:t>
      </w:r>
      <w:r>
        <w:rPr>
          <w:bCs/>
        </w:rPr>
        <w:t xml:space="preserve"> κατά 156 εκατ. ευρώ έναντι των εκτιμήσεων του 2020, λόγω του ότι δεν έχουν συμπεριληφθεί τα ποσά που αναμένονται από </w:t>
      </w:r>
      <w:proofErr w:type="spellStart"/>
      <w:r>
        <w:rPr>
          <w:bCs/>
        </w:rPr>
        <w:t>ANFAs</w:t>
      </w:r>
      <w:proofErr w:type="spellEnd"/>
      <w:r>
        <w:rPr>
          <w:bCs/>
        </w:rPr>
        <w:t xml:space="preserve"> και </w:t>
      </w:r>
      <w:proofErr w:type="spellStart"/>
      <w:r>
        <w:rPr>
          <w:bCs/>
        </w:rPr>
        <w:t>SMPs</w:t>
      </w:r>
      <w:proofErr w:type="spellEnd"/>
      <w:r>
        <w:rPr>
          <w:bCs/>
        </w:rPr>
        <w:t xml:space="preserve"> από τον ESM, τα οποία εντάσσονται κατ’ έτος στον προϋπολογισμό αφού εισπραχθούν, ενώ στο έτος 2020 περιλαμβάνονται τα ποσά που έχουν εισπραχθεί </w:t>
      </w:r>
      <w:r w:rsidR="00F805B9">
        <w:rPr>
          <w:bCs/>
        </w:rPr>
        <w:t>(</w:t>
      </w:r>
      <w:r>
        <w:rPr>
          <w:bCs/>
        </w:rPr>
        <w:t>ύψους 644 εκατ. ευρώ</w:t>
      </w:r>
      <w:r w:rsidR="00F805B9">
        <w:rPr>
          <w:bCs/>
        </w:rPr>
        <w:t>)</w:t>
      </w:r>
      <w:r>
        <w:rPr>
          <w:bCs/>
        </w:rPr>
        <w:t>,</w:t>
      </w:r>
    </w:p>
    <w:p w:rsidR="00331672" w:rsidRPr="00D67A91" w:rsidRDefault="00331672" w:rsidP="00FE7E83">
      <w:pPr>
        <w:numPr>
          <w:ilvl w:val="0"/>
          <w:numId w:val="1"/>
        </w:numPr>
        <w:contextualSpacing/>
        <w:jc w:val="both"/>
        <w:rPr>
          <w:bCs/>
        </w:rPr>
      </w:pPr>
      <w:r>
        <w:rPr>
          <w:bCs/>
        </w:rPr>
        <w:t>οι πωλήσεις αγαθών και υπηρεσιών προβλέπεται να ανέλθουν στο ποσό των 635 εκατ. ευρώ, αυξημένοι κατά 80 εκατ. ευρώ έναντι των εκτιμήσεων του 2020,</w:t>
      </w:r>
    </w:p>
    <w:p w:rsidR="00331672" w:rsidRDefault="00331672" w:rsidP="00FE7E83">
      <w:pPr>
        <w:numPr>
          <w:ilvl w:val="0"/>
          <w:numId w:val="1"/>
        </w:numPr>
        <w:contextualSpacing/>
        <w:jc w:val="both"/>
        <w:rPr>
          <w:bCs/>
        </w:rPr>
      </w:pPr>
      <w:r w:rsidRPr="00B63679">
        <w:rPr>
          <w:bCs/>
        </w:rPr>
        <w:t xml:space="preserve">τα λοιπά τρέχοντα έσοδα εκτιμώνται σε </w:t>
      </w:r>
      <w:r>
        <w:rPr>
          <w:bCs/>
        </w:rPr>
        <w:t>2.070</w:t>
      </w:r>
      <w:r w:rsidRPr="00B63679">
        <w:rPr>
          <w:bCs/>
        </w:rPr>
        <w:t xml:space="preserve"> εκατ. ευρώ, μειωμένα κατά </w:t>
      </w:r>
      <w:r>
        <w:rPr>
          <w:bCs/>
        </w:rPr>
        <w:t>671</w:t>
      </w:r>
      <w:r w:rsidRPr="00B63679">
        <w:rPr>
          <w:bCs/>
        </w:rPr>
        <w:t xml:space="preserve"> εκατ. ευρώ έναντι των εκτιμήσεων </w:t>
      </w:r>
      <w:r>
        <w:rPr>
          <w:bCs/>
        </w:rPr>
        <w:t>του 2020</w:t>
      </w:r>
      <w:r w:rsidRPr="00B63679">
        <w:rPr>
          <w:bCs/>
        </w:rPr>
        <w:t>, λόγω πρόβλεψης μειωμένων εσόδων στο εθνικό σκέλος του ΠΔΕ,</w:t>
      </w:r>
    </w:p>
    <w:p w:rsidR="00331672" w:rsidRPr="00D67A91" w:rsidRDefault="00331672" w:rsidP="00FE7E83">
      <w:pPr>
        <w:numPr>
          <w:ilvl w:val="0"/>
          <w:numId w:val="1"/>
        </w:numPr>
        <w:contextualSpacing/>
        <w:jc w:val="both"/>
        <w:rPr>
          <w:bCs/>
        </w:rPr>
      </w:pPr>
      <w:r>
        <w:rPr>
          <w:bCs/>
        </w:rPr>
        <w:t>οι πωλήσεις παγίων περιουσιακών στοιχείων προβλέπεται να διαμορφωθούν στο ποσό των 30 εκατ. ευρώ, μειωμένοι κατά 296 εκατ. ευρώ έναντι των εκτιμήσεων του 2020, λόγω του ότι στο έτος 2020 περιλαμβάνεται η είσπραξη μέρους του αντιτίμου από την αξιοποίηση της έκτασης του πρώην Διεθνούς Αεροδρομίου του Ελληνικού,</w:t>
      </w:r>
    </w:p>
    <w:p w:rsidR="00331672" w:rsidRDefault="00331672" w:rsidP="00FE7E83">
      <w:pPr>
        <w:numPr>
          <w:ilvl w:val="0"/>
          <w:numId w:val="1"/>
        </w:numPr>
        <w:contextualSpacing/>
        <w:jc w:val="both"/>
        <w:rPr>
          <w:bCs/>
        </w:rPr>
      </w:pPr>
      <w:r w:rsidRPr="0031224D">
        <w:rPr>
          <w:bCs/>
        </w:rPr>
        <w:t>οι επιστροφές φόρων προβλέπεται να ανέλθουν</w:t>
      </w:r>
      <w:r w:rsidRPr="004F40E8">
        <w:rPr>
          <w:bCs/>
        </w:rPr>
        <w:t xml:space="preserve"> στο ποσό των </w:t>
      </w:r>
      <w:r>
        <w:rPr>
          <w:bCs/>
        </w:rPr>
        <w:t>5.278</w:t>
      </w:r>
      <w:r w:rsidRPr="004F40E8">
        <w:rPr>
          <w:bCs/>
        </w:rPr>
        <w:t xml:space="preserve"> εκατ. ευρώ, </w:t>
      </w:r>
      <w:r>
        <w:rPr>
          <w:bCs/>
        </w:rPr>
        <w:t>αυξη</w:t>
      </w:r>
      <w:r w:rsidRPr="004F40E8">
        <w:rPr>
          <w:bCs/>
        </w:rPr>
        <w:t>μένες</w:t>
      </w:r>
      <w:r>
        <w:rPr>
          <w:bCs/>
        </w:rPr>
        <w:t xml:space="preserve"> </w:t>
      </w:r>
      <w:r w:rsidRPr="004F40E8">
        <w:rPr>
          <w:bCs/>
        </w:rPr>
        <w:t xml:space="preserve">κατά </w:t>
      </w:r>
      <w:r>
        <w:rPr>
          <w:bCs/>
        </w:rPr>
        <w:t>352 εκατ. ευρώ έναντι των εκτιμήσεων του 2020.</w:t>
      </w:r>
    </w:p>
    <w:p w:rsidR="00331672" w:rsidRDefault="00331672" w:rsidP="00331672">
      <w:pPr>
        <w:ind w:left="348"/>
        <w:contextualSpacing/>
        <w:jc w:val="both"/>
        <w:rPr>
          <w:bCs/>
        </w:rPr>
      </w:pPr>
    </w:p>
    <w:p w:rsidR="00331672" w:rsidRDefault="00331672" w:rsidP="00331672">
      <w:pPr>
        <w:contextualSpacing/>
        <w:jc w:val="both"/>
      </w:pPr>
      <w:r>
        <w:t xml:space="preserve">Σημειώνεται ότι στις ανωτέρω κατηγορίες «Μεταβιβάσεις» και «Λοιπά τρέχοντα έσοδα», περιλαμβάνονται </w:t>
      </w:r>
      <w:r w:rsidRPr="004F40E8">
        <w:t xml:space="preserve">έσοδα ΠΔΕ </w:t>
      </w:r>
      <w:r>
        <w:t xml:space="preserve">ύψους 3.875 εκατ. ευρώ, μειωμένα κατά 2.355 εκατ. ευρώ έναντι των εκτιμήσεων του 2020. </w:t>
      </w:r>
    </w:p>
    <w:p w:rsidR="00F83364" w:rsidRDefault="00F83364" w:rsidP="00331672">
      <w:pPr>
        <w:contextualSpacing/>
        <w:jc w:val="both"/>
        <w:rPr>
          <w:bCs/>
        </w:rPr>
      </w:pPr>
    </w:p>
    <w:p w:rsidR="00245C2D" w:rsidRDefault="00245C2D" w:rsidP="00331672">
      <w:pPr>
        <w:contextualSpacing/>
        <w:jc w:val="both"/>
        <w:rPr>
          <w:bCs/>
        </w:rPr>
      </w:pPr>
    </w:p>
    <w:p w:rsidR="003D49BC" w:rsidRDefault="003D49BC" w:rsidP="00331672">
      <w:pPr>
        <w:contextualSpacing/>
        <w:jc w:val="both"/>
        <w:rPr>
          <w:bCs/>
        </w:rPr>
      </w:pPr>
    </w:p>
    <w:p w:rsidR="00245C2D" w:rsidRDefault="00245C2D" w:rsidP="00331672">
      <w:pPr>
        <w:contextualSpacing/>
        <w:jc w:val="both"/>
        <w:rPr>
          <w:bCs/>
        </w:rPr>
      </w:pPr>
    </w:p>
    <w:p w:rsidR="00F83364" w:rsidRPr="004F40E8" w:rsidRDefault="00F83364" w:rsidP="00F83364">
      <w:pPr>
        <w:contextualSpacing/>
        <w:jc w:val="both"/>
        <w:rPr>
          <w:rFonts w:ascii="Arial Narrow" w:hAnsi="Arial Narrow"/>
          <w:b/>
          <w:color w:val="000080"/>
        </w:rPr>
      </w:pPr>
      <w:r w:rsidRPr="004F40E8">
        <w:rPr>
          <w:rFonts w:ascii="Arial Narrow" w:hAnsi="Arial Narrow"/>
          <w:b/>
          <w:color w:val="000080"/>
        </w:rPr>
        <w:t>Δαπάνες</w:t>
      </w:r>
    </w:p>
    <w:p w:rsidR="00F83364" w:rsidRDefault="00F83364" w:rsidP="00F83364">
      <w:pPr>
        <w:contextualSpacing/>
        <w:jc w:val="both"/>
        <w:outlineLvl w:val="3"/>
      </w:pPr>
    </w:p>
    <w:p w:rsidR="00F83364" w:rsidRPr="005D20D5" w:rsidRDefault="00F83364" w:rsidP="00F83364">
      <w:pPr>
        <w:contextualSpacing/>
        <w:jc w:val="both"/>
        <w:outlineLvl w:val="3"/>
        <w:rPr>
          <w:bCs/>
        </w:rPr>
      </w:pPr>
      <w:r w:rsidRPr="005D20D5">
        <w:rPr>
          <w:bCs/>
        </w:rPr>
        <w:t xml:space="preserve">Οι συνολικές δαπάνες του </w:t>
      </w:r>
      <w:r w:rsidRPr="004A178A">
        <w:rPr>
          <w:bCs/>
        </w:rPr>
        <w:t>Κρατικού Προϋπολογισμού για το έτος 2021 προβλέπεται ότι θα διαμορφωθούν (σε δημοσιονομική βάση) σε 63.884 εκατ. ευρώ, μειωμένες κατά 4.645 εκατ. ευρώ σε σχέση με την αντίστοιχη εκτίμηση για το 2020.</w:t>
      </w:r>
    </w:p>
    <w:p w:rsidR="00F83364" w:rsidRPr="00D46D9A" w:rsidRDefault="00F83364" w:rsidP="00F83364">
      <w:pPr>
        <w:contextualSpacing/>
        <w:jc w:val="both"/>
        <w:outlineLvl w:val="3"/>
      </w:pPr>
    </w:p>
    <w:p w:rsidR="00F83364" w:rsidRPr="00ED27B4" w:rsidRDefault="00F83364" w:rsidP="00F83364">
      <w:pPr>
        <w:jc w:val="both"/>
        <w:rPr>
          <w:rFonts w:ascii="Arial Narrow" w:hAnsi="Arial Narrow"/>
          <w:b/>
          <w:bCs/>
          <w:i/>
          <w:color w:val="000080"/>
          <w:sz w:val="22"/>
          <w:szCs w:val="22"/>
        </w:rPr>
      </w:pPr>
      <w:r w:rsidRPr="004F40E8">
        <w:rPr>
          <w:rFonts w:ascii="Arial Narrow" w:hAnsi="Arial Narrow"/>
          <w:b/>
          <w:bCs/>
          <w:i/>
          <w:color w:val="000080"/>
          <w:sz w:val="22"/>
          <w:szCs w:val="22"/>
        </w:rPr>
        <w:t xml:space="preserve">Ανάλυση δαπανών κατά </w:t>
      </w:r>
      <w:r>
        <w:rPr>
          <w:rFonts w:ascii="Arial Narrow" w:hAnsi="Arial Narrow"/>
          <w:b/>
          <w:bCs/>
          <w:i/>
          <w:color w:val="000080"/>
          <w:sz w:val="22"/>
          <w:szCs w:val="22"/>
        </w:rPr>
        <w:t>μείζονα κατηγορία (σε δημοσιονομική βάση)</w:t>
      </w:r>
    </w:p>
    <w:p w:rsidR="00F83364" w:rsidRDefault="00F83364" w:rsidP="00F83364">
      <w:pPr>
        <w:jc w:val="both"/>
        <w:outlineLvl w:val="3"/>
      </w:pPr>
    </w:p>
    <w:p w:rsidR="00F83364" w:rsidRPr="000F5656" w:rsidRDefault="00F83364" w:rsidP="00C278DF">
      <w:pPr>
        <w:jc w:val="both"/>
        <w:outlineLvl w:val="3"/>
        <w:rPr>
          <w:rFonts w:ascii="Arial Narrow" w:hAnsi="Arial Narrow"/>
          <w:b/>
          <w:iCs/>
          <w:sz w:val="22"/>
          <w:szCs w:val="22"/>
          <w:lang w:bidi="en-US"/>
        </w:rPr>
      </w:pPr>
      <w:r w:rsidRPr="000F5656">
        <w:rPr>
          <w:rFonts w:ascii="Arial Narrow" w:hAnsi="Arial Narrow"/>
          <w:b/>
          <w:iCs/>
          <w:sz w:val="22"/>
          <w:szCs w:val="22"/>
          <w:lang w:bidi="en-US"/>
        </w:rPr>
        <w:t>Παροχές σε εργαζ</w:t>
      </w:r>
      <w:r w:rsidR="006C04A0">
        <w:rPr>
          <w:rFonts w:ascii="Arial Narrow" w:hAnsi="Arial Narrow"/>
          <w:b/>
          <w:iCs/>
          <w:sz w:val="22"/>
          <w:szCs w:val="22"/>
          <w:lang w:bidi="en-US"/>
        </w:rPr>
        <w:t>ό</w:t>
      </w:r>
      <w:r w:rsidRPr="000F5656">
        <w:rPr>
          <w:rFonts w:ascii="Arial Narrow" w:hAnsi="Arial Narrow"/>
          <w:b/>
          <w:iCs/>
          <w:sz w:val="22"/>
          <w:szCs w:val="22"/>
          <w:lang w:bidi="en-US"/>
        </w:rPr>
        <w:t>μ</w:t>
      </w:r>
      <w:r w:rsidR="006C04A0">
        <w:rPr>
          <w:rFonts w:ascii="Arial Narrow" w:hAnsi="Arial Narrow"/>
          <w:b/>
          <w:iCs/>
          <w:sz w:val="22"/>
          <w:szCs w:val="22"/>
          <w:lang w:bidi="en-US"/>
        </w:rPr>
        <w:t>ε</w:t>
      </w:r>
      <w:r w:rsidRPr="000F5656">
        <w:rPr>
          <w:rFonts w:ascii="Arial Narrow" w:hAnsi="Arial Narrow"/>
          <w:b/>
          <w:iCs/>
          <w:sz w:val="22"/>
          <w:szCs w:val="22"/>
          <w:lang w:bidi="en-US"/>
        </w:rPr>
        <w:t>νους</w:t>
      </w:r>
    </w:p>
    <w:p w:rsidR="00F83364" w:rsidRDefault="00F83364" w:rsidP="00F83364">
      <w:pPr>
        <w:jc w:val="both"/>
        <w:outlineLvl w:val="3"/>
        <w:rPr>
          <w:iCs/>
        </w:rPr>
      </w:pPr>
    </w:p>
    <w:p w:rsidR="00F83364" w:rsidRPr="00995DA5" w:rsidRDefault="00F83364" w:rsidP="00F83364">
      <w:pPr>
        <w:contextualSpacing/>
        <w:jc w:val="both"/>
      </w:pPr>
      <w:r w:rsidRPr="00995DA5">
        <w:t>Οι δαπάνες παροχών σε εργαζ</w:t>
      </w:r>
      <w:r w:rsidR="006C04A0">
        <w:t>ό</w:t>
      </w:r>
      <w:r w:rsidRPr="00995DA5">
        <w:t>μ</w:t>
      </w:r>
      <w:r w:rsidR="006C04A0">
        <w:t>ε</w:t>
      </w:r>
      <w:r w:rsidRPr="00995DA5">
        <w:t>νους προβλέπεται ότι θα ανέλθουν στα 13.424 εκατ. ευρώ</w:t>
      </w:r>
      <w:r>
        <w:t>,</w:t>
      </w:r>
      <w:r w:rsidRPr="00995DA5">
        <w:t xml:space="preserve"> αυξημένες κατά 14 εκατ. ευρώ σε σχέση με την αντίστοιχη εκτίμηση για το 2020. </w:t>
      </w:r>
    </w:p>
    <w:p w:rsidR="00F83364" w:rsidRDefault="00F83364" w:rsidP="00F83364">
      <w:pPr>
        <w:contextualSpacing/>
        <w:jc w:val="both"/>
      </w:pPr>
    </w:p>
    <w:p w:rsidR="00F83364" w:rsidRDefault="00F83364" w:rsidP="00F83364">
      <w:pPr>
        <w:contextualSpacing/>
        <w:jc w:val="both"/>
      </w:pPr>
      <w:r w:rsidRPr="00995DA5">
        <w:t xml:space="preserve">Η μεταβολή αυτή οφείλεται </w:t>
      </w:r>
      <w:r>
        <w:t xml:space="preserve">κυρίως </w:t>
      </w:r>
      <w:r w:rsidRPr="00995DA5">
        <w:t>στους κάτωθι παράγοντες:</w:t>
      </w:r>
    </w:p>
    <w:p w:rsidR="00F83364" w:rsidRPr="00995DA5" w:rsidRDefault="00F83364" w:rsidP="00F83364">
      <w:pPr>
        <w:contextualSpacing/>
        <w:jc w:val="both"/>
      </w:pPr>
    </w:p>
    <w:p w:rsidR="00F83364" w:rsidRPr="00995DA5"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σ</w:t>
      </w:r>
      <w:r w:rsidRPr="00995DA5">
        <w:rPr>
          <w:rFonts w:ascii="Times New Roman" w:hAnsi="Times New Roman"/>
          <w:sz w:val="24"/>
          <w:szCs w:val="24"/>
        </w:rPr>
        <w:t>την αύξηση των τακτικών αποδοχών</w:t>
      </w:r>
      <w:r>
        <w:rPr>
          <w:rFonts w:ascii="Times New Roman" w:hAnsi="Times New Roman"/>
          <w:sz w:val="24"/>
          <w:szCs w:val="24"/>
        </w:rPr>
        <w:t xml:space="preserve"> </w:t>
      </w:r>
      <w:r w:rsidRPr="00995DA5">
        <w:rPr>
          <w:rFonts w:ascii="Times New Roman" w:hAnsi="Times New Roman"/>
          <w:sz w:val="24"/>
          <w:szCs w:val="24"/>
        </w:rPr>
        <w:t>και των εργοδοτικών ει</w:t>
      </w:r>
      <w:r>
        <w:rPr>
          <w:rFonts w:ascii="Times New Roman" w:hAnsi="Times New Roman"/>
          <w:sz w:val="24"/>
          <w:szCs w:val="24"/>
        </w:rPr>
        <w:t>σφορών</w:t>
      </w:r>
      <w:r w:rsidRPr="00995DA5">
        <w:rPr>
          <w:rFonts w:ascii="Times New Roman" w:hAnsi="Times New Roman"/>
          <w:sz w:val="24"/>
          <w:szCs w:val="24"/>
        </w:rPr>
        <w:t xml:space="preserve"> κατά 87 εκατ. ευρώ</w:t>
      </w:r>
      <w:r>
        <w:rPr>
          <w:rFonts w:ascii="Times New Roman" w:hAnsi="Times New Roman"/>
          <w:sz w:val="24"/>
          <w:szCs w:val="24"/>
        </w:rPr>
        <w:t xml:space="preserve"> και 18</w:t>
      </w:r>
      <w:r w:rsidRPr="00455B42">
        <w:rPr>
          <w:rFonts w:ascii="Times New Roman" w:hAnsi="Times New Roman"/>
          <w:sz w:val="24"/>
          <w:szCs w:val="24"/>
        </w:rPr>
        <w:t xml:space="preserve"> </w:t>
      </w:r>
      <w:r>
        <w:rPr>
          <w:rFonts w:ascii="Times New Roman" w:hAnsi="Times New Roman"/>
          <w:sz w:val="24"/>
          <w:szCs w:val="24"/>
        </w:rPr>
        <w:t>εκατ. ευρώ, αντίστοιχα,</w:t>
      </w:r>
      <w:r w:rsidRPr="00995DA5">
        <w:rPr>
          <w:rFonts w:ascii="Times New Roman" w:hAnsi="Times New Roman"/>
          <w:sz w:val="24"/>
          <w:szCs w:val="24"/>
        </w:rPr>
        <w:t xml:space="preserve"> κυρίως </w:t>
      </w:r>
      <w:r>
        <w:rPr>
          <w:rFonts w:ascii="Times New Roman" w:hAnsi="Times New Roman"/>
          <w:sz w:val="24"/>
          <w:szCs w:val="24"/>
        </w:rPr>
        <w:t>λόγω νέων</w:t>
      </w:r>
      <w:r w:rsidRPr="00995DA5">
        <w:rPr>
          <w:rFonts w:ascii="Times New Roman" w:hAnsi="Times New Roman"/>
          <w:sz w:val="24"/>
          <w:szCs w:val="24"/>
        </w:rPr>
        <w:t xml:space="preserve"> προσ</w:t>
      </w:r>
      <w:r>
        <w:rPr>
          <w:rFonts w:ascii="Times New Roman" w:hAnsi="Times New Roman"/>
          <w:sz w:val="24"/>
          <w:szCs w:val="24"/>
        </w:rPr>
        <w:t>λήψεων</w:t>
      </w:r>
      <w:r w:rsidRPr="00995DA5">
        <w:rPr>
          <w:rFonts w:ascii="Times New Roman" w:hAnsi="Times New Roman"/>
          <w:sz w:val="24"/>
          <w:szCs w:val="24"/>
        </w:rPr>
        <w:t xml:space="preserve"> εκπαιδευτικών</w:t>
      </w:r>
      <w:r>
        <w:rPr>
          <w:rFonts w:ascii="Times New Roman" w:hAnsi="Times New Roman"/>
          <w:sz w:val="24"/>
          <w:szCs w:val="24"/>
        </w:rPr>
        <w:t>,</w:t>
      </w:r>
      <w:r w:rsidRPr="00995DA5">
        <w:rPr>
          <w:rFonts w:ascii="Times New Roman" w:hAnsi="Times New Roman"/>
          <w:sz w:val="24"/>
          <w:szCs w:val="24"/>
        </w:rPr>
        <w:t xml:space="preserve"> οι οποίες αναμένεται να πραγματοποιηθούν εντός του έτους 2021</w:t>
      </w:r>
      <w:r>
        <w:rPr>
          <w:rFonts w:ascii="Times New Roman" w:hAnsi="Times New Roman"/>
          <w:sz w:val="24"/>
          <w:szCs w:val="24"/>
        </w:rPr>
        <w:t xml:space="preserve"> και</w:t>
      </w:r>
    </w:p>
    <w:p w:rsidR="00F8336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στη</w:t>
      </w:r>
      <w:r w:rsidRPr="00995DA5">
        <w:rPr>
          <w:rFonts w:ascii="Times New Roman" w:hAnsi="Times New Roman"/>
          <w:sz w:val="24"/>
          <w:szCs w:val="24"/>
        </w:rPr>
        <w:t xml:space="preserve"> μείωση των πρόσθετων αποδοχών κατά 91 εκατ. ευρώ</w:t>
      </w:r>
      <w:r>
        <w:rPr>
          <w:rFonts w:ascii="Times New Roman" w:hAnsi="Times New Roman"/>
          <w:sz w:val="24"/>
          <w:szCs w:val="24"/>
        </w:rPr>
        <w:t>,</w:t>
      </w:r>
      <w:r w:rsidRPr="00995DA5">
        <w:rPr>
          <w:rFonts w:ascii="Times New Roman" w:hAnsi="Times New Roman"/>
          <w:sz w:val="24"/>
          <w:szCs w:val="24"/>
        </w:rPr>
        <w:t xml:space="preserve"> </w:t>
      </w:r>
      <w:r>
        <w:rPr>
          <w:rFonts w:ascii="Times New Roman" w:hAnsi="Times New Roman"/>
          <w:sz w:val="24"/>
          <w:szCs w:val="24"/>
        </w:rPr>
        <w:t xml:space="preserve">ως συνέπεια του γεγονότος ότι στα μεγέθη του 2020 συμπεριλαμβάνεται και </w:t>
      </w:r>
      <w:r w:rsidR="00245C2D">
        <w:rPr>
          <w:rFonts w:ascii="Times New Roman" w:hAnsi="Times New Roman"/>
          <w:sz w:val="24"/>
          <w:szCs w:val="24"/>
        </w:rPr>
        <w:t xml:space="preserve">η έκτακτη οικονομική ενίσχυση </w:t>
      </w:r>
      <w:r>
        <w:rPr>
          <w:rFonts w:ascii="Times New Roman" w:hAnsi="Times New Roman"/>
          <w:sz w:val="24"/>
          <w:szCs w:val="24"/>
        </w:rPr>
        <w:t>για τους υγειονομικούς υπαλλήλους και τους υπαλλήλους της Πολιτικής Προστασίας.</w:t>
      </w:r>
    </w:p>
    <w:p w:rsidR="0010708D" w:rsidRPr="00995DA5" w:rsidRDefault="0010708D" w:rsidP="00F83364">
      <w:pPr>
        <w:pStyle w:val="ListParagraph"/>
        <w:spacing w:after="0" w:line="240" w:lineRule="auto"/>
        <w:ind w:left="360"/>
        <w:jc w:val="both"/>
        <w:rPr>
          <w:rFonts w:ascii="Times New Roman" w:hAnsi="Times New Roman"/>
          <w:sz w:val="24"/>
          <w:szCs w:val="24"/>
        </w:rPr>
      </w:pPr>
    </w:p>
    <w:p w:rsidR="00F83364" w:rsidRDefault="00F83364" w:rsidP="00C278DF">
      <w:pPr>
        <w:contextualSpacing/>
        <w:jc w:val="both"/>
        <w:outlineLvl w:val="3"/>
        <w:rPr>
          <w:rFonts w:ascii="Arial Narrow" w:hAnsi="Arial Narrow"/>
          <w:b/>
          <w:iCs/>
          <w:sz w:val="22"/>
          <w:szCs w:val="22"/>
          <w:lang w:bidi="en-US"/>
        </w:rPr>
      </w:pPr>
      <w:r w:rsidRPr="000F5656">
        <w:rPr>
          <w:rFonts w:ascii="Arial Narrow" w:hAnsi="Arial Narrow"/>
          <w:b/>
          <w:iCs/>
          <w:sz w:val="22"/>
          <w:szCs w:val="22"/>
          <w:lang w:bidi="en-US"/>
        </w:rPr>
        <w:t>Κοινωνικές Παροχές</w:t>
      </w:r>
    </w:p>
    <w:p w:rsidR="00F83364" w:rsidRPr="000F5656" w:rsidRDefault="00F83364" w:rsidP="00F83364">
      <w:pPr>
        <w:ind w:left="360"/>
        <w:contextualSpacing/>
        <w:jc w:val="both"/>
        <w:outlineLvl w:val="3"/>
        <w:rPr>
          <w:rFonts w:ascii="Arial Narrow" w:hAnsi="Arial Narrow"/>
          <w:b/>
          <w:iCs/>
          <w:sz w:val="22"/>
          <w:szCs w:val="22"/>
          <w:lang w:bidi="en-US"/>
        </w:rPr>
      </w:pPr>
    </w:p>
    <w:p w:rsidR="00F83364" w:rsidRPr="0013008F" w:rsidRDefault="00F83364" w:rsidP="00F83364">
      <w:pPr>
        <w:contextualSpacing/>
        <w:jc w:val="both"/>
        <w:outlineLvl w:val="3"/>
        <w:rPr>
          <w:iCs/>
        </w:rPr>
      </w:pPr>
      <w:r w:rsidRPr="007A15C2">
        <w:rPr>
          <w:iCs/>
        </w:rPr>
        <w:t xml:space="preserve">Οι δαπάνες της κατηγορίας αυτής </w:t>
      </w:r>
      <w:r w:rsidRPr="0013008F">
        <w:rPr>
          <w:iCs/>
        </w:rPr>
        <w:t>προβλέπεται ότι θα ανέλθουν στα 225 εκατ. ευρώ, μειωμένες κατά 7 εκατ. ευρώ σε σχέση με την αντίστοιχη εκτίμηση του 2020.</w:t>
      </w:r>
    </w:p>
    <w:p w:rsidR="00F83364" w:rsidRDefault="00F83364" w:rsidP="00F83364">
      <w:pPr>
        <w:contextualSpacing/>
        <w:jc w:val="both"/>
        <w:outlineLvl w:val="3"/>
        <w:rPr>
          <w:iCs/>
        </w:rPr>
      </w:pPr>
    </w:p>
    <w:p w:rsidR="00F83364" w:rsidRPr="0013008F" w:rsidRDefault="00F83364" w:rsidP="00C278DF">
      <w:pPr>
        <w:contextualSpacing/>
        <w:jc w:val="both"/>
        <w:outlineLvl w:val="3"/>
        <w:rPr>
          <w:rFonts w:ascii="Arial Narrow" w:hAnsi="Arial Narrow"/>
          <w:b/>
          <w:iCs/>
          <w:sz w:val="22"/>
          <w:szCs w:val="22"/>
          <w:lang w:bidi="en-US"/>
        </w:rPr>
      </w:pPr>
      <w:r w:rsidRPr="0013008F">
        <w:rPr>
          <w:rFonts w:ascii="Arial Narrow" w:hAnsi="Arial Narrow"/>
          <w:b/>
          <w:iCs/>
          <w:sz w:val="22"/>
          <w:szCs w:val="22"/>
          <w:lang w:bidi="en-US"/>
        </w:rPr>
        <w:t>Μεταβιβάσεις</w:t>
      </w:r>
    </w:p>
    <w:p w:rsidR="00F83364" w:rsidRPr="0013008F" w:rsidRDefault="00F83364" w:rsidP="00F83364">
      <w:pPr>
        <w:contextualSpacing/>
        <w:jc w:val="both"/>
        <w:outlineLvl w:val="3"/>
        <w:rPr>
          <w:iCs/>
        </w:rPr>
      </w:pPr>
    </w:p>
    <w:p w:rsidR="00F83364" w:rsidRPr="0013008F" w:rsidRDefault="00F83364" w:rsidP="00F83364">
      <w:pPr>
        <w:contextualSpacing/>
        <w:jc w:val="both"/>
        <w:outlineLvl w:val="3"/>
        <w:rPr>
          <w:iCs/>
        </w:rPr>
      </w:pPr>
      <w:r w:rsidRPr="0013008F">
        <w:rPr>
          <w:iCs/>
        </w:rPr>
        <w:t xml:space="preserve">Οι δαπάνες για τις μεταβιβάσεις σε φορείς εντός και εκτός Γενικής Κυβέρνησης προβλέπεται ότι θα διαμορφωθούν στα 30.085 εκατ. ευρώ, μειωμένες κατά 6.510 εκατ. ευρώ έναντι </w:t>
      </w:r>
      <w:r w:rsidRPr="0013008F">
        <w:rPr>
          <w:bCs/>
        </w:rPr>
        <w:t>της εκτίμησης για το 2020</w:t>
      </w:r>
      <w:r w:rsidRPr="0013008F">
        <w:rPr>
          <w:iCs/>
        </w:rPr>
        <w:t xml:space="preserve">, λόγω της </w:t>
      </w:r>
      <w:r w:rsidR="009C724C">
        <w:rPr>
          <w:iCs/>
        </w:rPr>
        <w:t xml:space="preserve">ανάγκης </w:t>
      </w:r>
      <w:r w:rsidRPr="0013008F">
        <w:rPr>
          <w:iCs/>
        </w:rPr>
        <w:t>εφαρμογής λιγότερων μέτρων ανάσχεσης της πανδημίας, κάνοντας τη βασική θεώρηση ότι οι αρνητικές επιπτώσεις θα έχουν μετριαστεί.</w:t>
      </w:r>
    </w:p>
    <w:p w:rsidR="00F83364" w:rsidRPr="0013008F" w:rsidRDefault="00F83364" w:rsidP="00F83364">
      <w:pPr>
        <w:contextualSpacing/>
        <w:jc w:val="both"/>
        <w:outlineLvl w:val="3"/>
        <w:rPr>
          <w:iCs/>
        </w:rPr>
      </w:pPr>
    </w:p>
    <w:p w:rsidR="00F83364" w:rsidRDefault="00F83364" w:rsidP="00F83364">
      <w:pPr>
        <w:contextualSpacing/>
        <w:jc w:val="both"/>
        <w:outlineLvl w:val="3"/>
        <w:rPr>
          <w:iCs/>
        </w:rPr>
      </w:pPr>
      <w:r w:rsidRPr="0013008F">
        <w:rPr>
          <w:iCs/>
        </w:rPr>
        <w:t xml:space="preserve">Τα </w:t>
      </w:r>
      <w:r w:rsidR="007D74E1">
        <w:rPr>
          <w:iCs/>
        </w:rPr>
        <w:t xml:space="preserve">νέα </w:t>
      </w:r>
      <w:r w:rsidRPr="0013008F">
        <w:rPr>
          <w:iCs/>
        </w:rPr>
        <w:t xml:space="preserve">μέτρα κατά του </w:t>
      </w:r>
      <w:proofErr w:type="spellStart"/>
      <w:r w:rsidR="00BE23E9">
        <w:rPr>
          <w:iCs/>
          <w:lang w:val="en-US"/>
        </w:rPr>
        <w:t>Covid</w:t>
      </w:r>
      <w:proofErr w:type="spellEnd"/>
      <w:r w:rsidR="00BE23E9" w:rsidRPr="00BE23E9">
        <w:rPr>
          <w:iCs/>
        </w:rPr>
        <w:t>-19</w:t>
      </w:r>
      <w:r w:rsidRPr="0013008F">
        <w:rPr>
          <w:iCs/>
        </w:rPr>
        <w:t xml:space="preserve">, τα οποία θα </w:t>
      </w:r>
      <w:r w:rsidR="007D74E1">
        <w:rPr>
          <w:iCs/>
        </w:rPr>
        <w:t>έχουν τη σημαντικότερη επίπτωση</w:t>
      </w:r>
      <w:r w:rsidR="007D74E1" w:rsidRPr="0013008F">
        <w:rPr>
          <w:iCs/>
        </w:rPr>
        <w:t xml:space="preserve"> </w:t>
      </w:r>
      <w:r w:rsidRPr="0013008F">
        <w:rPr>
          <w:iCs/>
        </w:rPr>
        <w:t xml:space="preserve">το 2021 </w:t>
      </w:r>
      <w:r w:rsidR="007D74E1">
        <w:rPr>
          <w:iCs/>
        </w:rPr>
        <w:t xml:space="preserve">στις μεταβιβάσεις </w:t>
      </w:r>
      <w:r w:rsidRPr="0013008F">
        <w:rPr>
          <w:iCs/>
        </w:rPr>
        <w:t>είναι τα εξής:</w:t>
      </w:r>
    </w:p>
    <w:p w:rsidR="00F83364" w:rsidRPr="0013008F" w:rsidRDefault="00F83364" w:rsidP="00F83364">
      <w:pPr>
        <w:contextualSpacing/>
        <w:jc w:val="both"/>
        <w:outlineLvl w:val="3"/>
        <w:rPr>
          <w:iCs/>
        </w:rPr>
      </w:pPr>
    </w:p>
    <w:p w:rsidR="00F83364" w:rsidRDefault="00F83364" w:rsidP="003D49BC">
      <w:pPr>
        <w:pStyle w:val="ListParagraph"/>
        <w:numPr>
          <w:ilvl w:val="0"/>
          <w:numId w:val="4"/>
        </w:numPr>
        <w:spacing w:after="0" w:line="240" w:lineRule="auto"/>
        <w:ind w:left="284" w:hanging="284"/>
        <w:jc w:val="both"/>
        <w:rPr>
          <w:rFonts w:ascii="Times New Roman" w:hAnsi="Times New Roman"/>
          <w:sz w:val="24"/>
          <w:szCs w:val="24"/>
        </w:rPr>
      </w:pPr>
      <w:r w:rsidRPr="0013008F">
        <w:rPr>
          <w:rFonts w:ascii="Times New Roman" w:hAnsi="Times New Roman"/>
          <w:sz w:val="24"/>
          <w:szCs w:val="24"/>
        </w:rPr>
        <w:t xml:space="preserve">η μείωση των </w:t>
      </w:r>
      <w:r w:rsidR="00245C2D">
        <w:rPr>
          <w:rFonts w:ascii="Times New Roman" w:hAnsi="Times New Roman"/>
          <w:sz w:val="24"/>
          <w:szCs w:val="24"/>
        </w:rPr>
        <w:t>ασφαλιστικών</w:t>
      </w:r>
      <w:r w:rsidRPr="0013008F">
        <w:rPr>
          <w:rFonts w:ascii="Times New Roman" w:hAnsi="Times New Roman"/>
          <w:sz w:val="24"/>
          <w:szCs w:val="24"/>
        </w:rPr>
        <w:t xml:space="preserve"> εισφορών των </w:t>
      </w:r>
      <w:r>
        <w:rPr>
          <w:rFonts w:ascii="Times New Roman" w:hAnsi="Times New Roman"/>
          <w:sz w:val="24"/>
          <w:szCs w:val="24"/>
        </w:rPr>
        <w:t>εργαζομένων του ιδιωτικού τομέα</w:t>
      </w:r>
    </w:p>
    <w:p w:rsidR="007D74E1" w:rsidRPr="007D74E1" w:rsidRDefault="007D74E1" w:rsidP="003D49BC">
      <w:pPr>
        <w:pStyle w:val="ListParagraph"/>
        <w:numPr>
          <w:ilvl w:val="0"/>
          <w:numId w:val="4"/>
        </w:numPr>
        <w:spacing w:after="0" w:line="240" w:lineRule="auto"/>
        <w:ind w:left="284" w:hanging="284"/>
        <w:jc w:val="both"/>
        <w:rPr>
          <w:rFonts w:ascii="Times New Roman" w:hAnsi="Times New Roman"/>
          <w:sz w:val="24"/>
          <w:szCs w:val="24"/>
        </w:rPr>
      </w:pPr>
      <w:r w:rsidRPr="007D74E1">
        <w:rPr>
          <w:rFonts w:ascii="Times New Roman" w:hAnsi="Times New Roman"/>
          <w:sz w:val="24"/>
          <w:szCs w:val="24"/>
        </w:rPr>
        <w:t xml:space="preserve">το κόστος επιδότησης πρώτης κατοικίας για δανειολήπτες που επλήγησαν από τον </w:t>
      </w:r>
      <w:proofErr w:type="spellStart"/>
      <w:r w:rsidRPr="007D74E1">
        <w:rPr>
          <w:rFonts w:ascii="Times New Roman" w:hAnsi="Times New Roman"/>
          <w:sz w:val="24"/>
          <w:szCs w:val="24"/>
        </w:rPr>
        <w:t>κορ</w:t>
      </w:r>
      <w:r w:rsidR="003D49BC">
        <w:rPr>
          <w:rFonts w:ascii="Times New Roman" w:hAnsi="Times New Roman"/>
          <w:sz w:val="24"/>
          <w:szCs w:val="24"/>
        </w:rPr>
        <w:t>ω</w:t>
      </w:r>
      <w:r w:rsidRPr="007D74E1">
        <w:rPr>
          <w:rFonts w:ascii="Times New Roman" w:hAnsi="Times New Roman"/>
          <w:sz w:val="24"/>
          <w:szCs w:val="24"/>
        </w:rPr>
        <w:t>νοϊό</w:t>
      </w:r>
      <w:proofErr w:type="spellEnd"/>
      <w:r w:rsidRPr="007D74E1">
        <w:rPr>
          <w:rFonts w:ascii="Times New Roman" w:hAnsi="Times New Roman"/>
          <w:sz w:val="24"/>
          <w:szCs w:val="24"/>
        </w:rPr>
        <w:t xml:space="preserve"> (πρόγραμμα ΓΕΦΥΡΑ)</w:t>
      </w:r>
      <w:r>
        <w:rPr>
          <w:rFonts w:ascii="Times New Roman" w:hAnsi="Times New Roman"/>
          <w:sz w:val="24"/>
          <w:szCs w:val="24"/>
        </w:rPr>
        <w:t xml:space="preserve"> και</w:t>
      </w:r>
      <w:r w:rsidRPr="007D74E1">
        <w:rPr>
          <w:rFonts w:ascii="Times New Roman" w:hAnsi="Times New Roman"/>
          <w:sz w:val="24"/>
          <w:szCs w:val="24"/>
        </w:rPr>
        <w:t>,</w:t>
      </w:r>
    </w:p>
    <w:p w:rsidR="007D74E1" w:rsidRPr="0013008F" w:rsidRDefault="007D74E1" w:rsidP="003D49BC">
      <w:pPr>
        <w:pStyle w:val="ListParagraph"/>
        <w:numPr>
          <w:ilvl w:val="0"/>
          <w:numId w:val="4"/>
        </w:numPr>
        <w:spacing w:after="0" w:line="240" w:lineRule="auto"/>
        <w:ind w:left="284" w:hanging="284"/>
        <w:jc w:val="both"/>
        <w:rPr>
          <w:rFonts w:ascii="Times New Roman" w:hAnsi="Times New Roman"/>
          <w:sz w:val="24"/>
          <w:szCs w:val="24"/>
        </w:rPr>
      </w:pPr>
      <w:r w:rsidRPr="007D74E1">
        <w:rPr>
          <w:rFonts w:ascii="Times New Roman" w:hAnsi="Times New Roman"/>
          <w:sz w:val="24"/>
          <w:szCs w:val="24"/>
        </w:rPr>
        <w:t xml:space="preserve">η κάλυψη των ασφαλιστικών εισφορών από τον κρατικό προϋπολογισμό και </w:t>
      </w:r>
      <w:r w:rsidR="00E20442">
        <w:rPr>
          <w:rFonts w:ascii="Times New Roman" w:hAnsi="Times New Roman"/>
          <w:sz w:val="24"/>
          <w:szCs w:val="24"/>
        </w:rPr>
        <w:t xml:space="preserve">η </w:t>
      </w:r>
      <w:r w:rsidRPr="007D74E1">
        <w:rPr>
          <w:rFonts w:ascii="Times New Roman" w:hAnsi="Times New Roman"/>
          <w:sz w:val="24"/>
          <w:szCs w:val="24"/>
        </w:rPr>
        <w:t>επιδότηση 200 ευρώ σε περίπτωση πρόσληψης μακροχρόνια ανέργου, για περίοδο 6 μηνών, στο πλαίσιο του προγράμματος για τη δημιουργία 100.000 νέων θέσεων εργασίας</w:t>
      </w:r>
      <w:r>
        <w:rPr>
          <w:rFonts w:ascii="Times New Roman" w:hAnsi="Times New Roman"/>
          <w:sz w:val="24"/>
          <w:szCs w:val="24"/>
        </w:rPr>
        <w:t>.</w:t>
      </w:r>
    </w:p>
    <w:p w:rsidR="00F83364" w:rsidRPr="0013008F" w:rsidRDefault="00F83364" w:rsidP="00F83364">
      <w:pPr>
        <w:pStyle w:val="ListParagraph"/>
        <w:spacing w:after="0" w:line="240" w:lineRule="auto"/>
        <w:jc w:val="both"/>
        <w:rPr>
          <w:rFonts w:ascii="Times New Roman" w:hAnsi="Times New Roman"/>
          <w:sz w:val="24"/>
          <w:szCs w:val="24"/>
        </w:rPr>
      </w:pPr>
    </w:p>
    <w:p w:rsidR="00F83364" w:rsidRPr="0013008F" w:rsidRDefault="00F83364" w:rsidP="00F83364">
      <w:pPr>
        <w:contextualSpacing/>
        <w:jc w:val="both"/>
      </w:pPr>
      <w:r w:rsidRPr="0013008F">
        <w:t xml:space="preserve">Η συνολική δαπάνη των </w:t>
      </w:r>
      <w:r w:rsidR="0014432E">
        <w:t xml:space="preserve">ήδη προσδιορισμένων </w:t>
      </w:r>
      <w:r w:rsidRPr="0013008F">
        <w:t xml:space="preserve">μέτρων </w:t>
      </w:r>
      <w:proofErr w:type="spellStart"/>
      <w:r w:rsidR="00BE23E9">
        <w:rPr>
          <w:lang w:val="en-US"/>
        </w:rPr>
        <w:t>Covid</w:t>
      </w:r>
      <w:proofErr w:type="spellEnd"/>
      <w:r w:rsidR="00BE23E9" w:rsidRPr="00BE23E9">
        <w:t>-19</w:t>
      </w:r>
      <w:r>
        <w:t>,</w:t>
      </w:r>
      <w:r w:rsidRPr="00836259">
        <w:rPr>
          <w:bCs/>
          <w:iCs/>
          <w:szCs w:val="22"/>
        </w:rPr>
        <w:t xml:space="preserve"> </w:t>
      </w:r>
      <w:r>
        <w:rPr>
          <w:bCs/>
          <w:iCs/>
          <w:szCs w:val="22"/>
        </w:rPr>
        <w:t>κατά το μέρος που επιβαρύνουν τ</w:t>
      </w:r>
      <w:r w:rsidR="00245C2D">
        <w:rPr>
          <w:bCs/>
          <w:iCs/>
          <w:szCs w:val="22"/>
        </w:rPr>
        <w:t>ον Τακτικό Προϋπολογισμό</w:t>
      </w:r>
      <w:r>
        <w:rPr>
          <w:bCs/>
          <w:iCs/>
          <w:szCs w:val="22"/>
        </w:rPr>
        <w:t>,</w:t>
      </w:r>
      <w:r w:rsidRPr="0013008F">
        <w:t xml:space="preserve"> </w:t>
      </w:r>
      <w:r>
        <w:t>ανέρχεται σε 1.606</w:t>
      </w:r>
      <w:r w:rsidRPr="0013008F">
        <w:t xml:space="preserve"> εκατ. ευρώ</w:t>
      </w:r>
      <w:r>
        <w:t>,</w:t>
      </w:r>
      <w:r w:rsidRPr="0013008F">
        <w:t xml:space="preserve"> έναντι 6.528 εκατ. ευρώ </w:t>
      </w:r>
      <w:r>
        <w:t xml:space="preserve">για το 2020 </w:t>
      </w:r>
      <w:r w:rsidRPr="0013008F">
        <w:t xml:space="preserve">και συνυπολογίζοντας τα περίπου 1.400 εκατ. ευρώ των αναδρομικών των συνταξιούχων που θα </w:t>
      </w:r>
      <w:r w:rsidR="00245C2D">
        <w:t>καταβληθούν</w:t>
      </w:r>
      <w:r w:rsidRPr="0013008F">
        <w:t xml:space="preserve"> το 2020, </w:t>
      </w:r>
      <w:r w:rsidR="00245C2D">
        <w:t xml:space="preserve">ερμηνεύεται </w:t>
      </w:r>
      <w:r w:rsidRPr="0013008F">
        <w:t>η κύρια διαφορά μεταξύ των εκτιμήσεων/προβλέψεων των δύο ετών.</w:t>
      </w:r>
    </w:p>
    <w:p w:rsidR="00F83364" w:rsidRPr="0013008F" w:rsidRDefault="00F83364" w:rsidP="00F83364">
      <w:pPr>
        <w:contextualSpacing/>
        <w:jc w:val="both"/>
        <w:outlineLvl w:val="3"/>
        <w:rPr>
          <w:iCs/>
        </w:rPr>
      </w:pPr>
    </w:p>
    <w:p w:rsidR="00F83364" w:rsidRPr="0013008F" w:rsidRDefault="00F83364" w:rsidP="00C278DF">
      <w:pPr>
        <w:contextualSpacing/>
        <w:jc w:val="both"/>
        <w:outlineLvl w:val="3"/>
        <w:rPr>
          <w:rFonts w:ascii="Arial Narrow" w:hAnsi="Arial Narrow"/>
          <w:b/>
          <w:iCs/>
          <w:sz w:val="22"/>
          <w:szCs w:val="22"/>
          <w:lang w:bidi="en-US"/>
        </w:rPr>
      </w:pPr>
      <w:r w:rsidRPr="0013008F">
        <w:rPr>
          <w:rFonts w:ascii="Arial Narrow" w:hAnsi="Arial Narrow"/>
          <w:b/>
          <w:iCs/>
          <w:sz w:val="22"/>
          <w:szCs w:val="22"/>
          <w:lang w:bidi="en-US"/>
        </w:rPr>
        <w:t>Αγορές αγαθών και υπηρεσιών</w:t>
      </w:r>
    </w:p>
    <w:p w:rsidR="00F83364" w:rsidRPr="0013008F" w:rsidRDefault="00F83364" w:rsidP="00F83364">
      <w:pPr>
        <w:contextualSpacing/>
        <w:jc w:val="both"/>
        <w:outlineLvl w:val="3"/>
        <w:rPr>
          <w:bCs/>
        </w:rPr>
      </w:pPr>
    </w:p>
    <w:p w:rsidR="006D28AD" w:rsidRDefault="00F83364" w:rsidP="00F83364">
      <w:pPr>
        <w:contextualSpacing/>
        <w:jc w:val="both"/>
        <w:outlineLvl w:val="3"/>
        <w:rPr>
          <w:bCs/>
        </w:rPr>
      </w:pPr>
      <w:r w:rsidRPr="0013008F">
        <w:rPr>
          <w:bCs/>
        </w:rPr>
        <w:t>Η προβλεπόμενη δαπάνη γι</w:t>
      </w:r>
      <w:r>
        <w:rPr>
          <w:bCs/>
        </w:rPr>
        <w:t>α το έτος 2021 ανέρχεται σε 1.031 εκατ. ευρώ, μειωμένη κατά 53</w:t>
      </w:r>
      <w:r w:rsidRPr="0013008F">
        <w:rPr>
          <w:bCs/>
        </w:rPr>
        <w:t>4 εκατ. ευρώ σε σχέση με την αντίστοιχη εκτίμηση για το 2020, κυρίως διότι η εκτίμηση του 2020 συμπεριλαμβάνει όπως προαναφέραμε:</w:t>
      </w:r>
    </w:p>
    <w:p w:rsidR="00F83364" w:rsidRDefault="00F83364" w:rsidP="00F83364">
      <w:pPr>
        <w:contextualSpacing/>
        <w:jc w:val="both"/>
        <w:outlineLvl w:val="3"/>
        <w:rPr>
          <w:bCs/>
        </w:rPr>
      </w:pPr>
      <w:r w:rsidRPr="0013008F">
        <w:rPr>
          <w:bCs/>
        </w:rPr>
        <w:t xml:space="preserve"> </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BF6078">
        <w:rPr>
          <w:rFonts w:ascii="Times New Roman" w:eastAsia="Times New Roman" w:hAnsi="Times New Roman"/>
          <w:bCs/>
          <w:sz w:val="24"/>
          <w:szCs w:val="24"/>
          <w:lang w:eastAsia="el-GR"/>
        </w:rPr>
        <w:t xml:space="preserve">πιστώσεις </w:t>
      </w:r>
      <w:r w:rsidRPr="00362D84">
        <w:rPr>
          <w:rFonts w:ascii="Times New Roman" w:hAnsi="Times New Roman"/>
          <w:sz w:val="24"/>
          <w:szCs w:val="24"/>
        </w:rPr>
        <w:t>που έχουν ανακατανεμηθεί από το τακτικό και το ειδικό αποθεματικό του άρθρου 59 του ν.4270/2014 συνολικού ύψους 230 εκατ. ευρώ περίπου</w:t>
      </w:r>
      <w:r w:rsidR="008D5602">
        <w:rPr>
          <w:rFonts w:ascii="Times New Roman" w:hAnsi="Times New Roman"/>
          <w:sz w:val="24"/>
          <w:szCs w:val="24"/>
        </w:rPr>
        <w:t>,</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362D84">
        <w:rPr>
          <w:rFonts w:ascii="Times New Roman" w:hAnsi="Times New Roman"/>
          <w:sz w:val="24"/>
          <w:szCs w:val="24"/>
        </w:rPr>
        <w:t xml:space="preserve">πιστώσεις που έχουν ανακατανεμηθεί για την αντιμετώπιση των προσφυγικών ροών ύψους 145 εκατ. ευρώ περίπου και </w:t>
      </w:r>
    </w:p>
    <w:p w:rsidR="00F83364" w:rsidRPr="00BF6078" w:rsidRDefault="00F83364" w:rsidP="00FE7E83">
      <w:pPr>
        <w:pStyle w:val="ListParagraph"/>
        <w:numPr>
          <w:ilvl w:val="0"/>
          <w:numId w:val="4"/>
        </w:numPr>
        <w:spacing w:after="0" w:line="240" w:lineRule="auto"/>
        <w:ind w:left="284" w:hanging="284"/>
        <w:jc w:val="both"/>
        <w:rPr>
          <w:rFonts w:ascii="Times New Roman" w:eastAsia="Times New Roman" w:hAnsi="Times New Roman"/>
          <w:bCs/>
          <w:sz w:val="24"/>
          <w:szCs w:val="24"/>
          <w:lang w:eastAsia="el-GR"/>
        </w:rPr>
      </w:pPr>
      <w:r w:rsidRPr="00362D84">
        <w:rPr>
          <w:rFonts w:ascii="Times New Roman" w:hAnsi="Times New Roman"/>
          <w:sz w:val="24"/>
          <w:szCs w:val="24"/>
        </w:rPr>
        <w:t>επιπλέον δαπάνες των υπουργείων για την υγειονομική κάλυψη έναντι της πανδημίας</w:t>
      </w:r>
      <w:r w:rsidRPr="00BF6078">
        <w:rPr>
          <w:rFonts w:ascii="Times New Roman" w:eastAsia="Times New Roman" w:hAnsi="Times New Roman"/>
          <w:bCs/>
          <w:sz w:val="24"/>
          <w:szCs w:val="24"/>
          <w:lang w:eastAsia="el-GR"/>
        </w:rPr>
        <w:t xml:space="preserve"> ύψους 190 εκατ. ευρώ περίπου. </w:t>
      </w:r>
    </w:p>
    <w:p w:rsidR="00F83364" w:rsidRDefault="00F83364" w:rsidP="00F83364">
      <w:pPr>
        <w:contextualSpacing/>
        <w:jc w:val="both"/>
        <w:outlineLvl w:val="3"/>
        <w:rPr>
          <w:bCs/>
          <w:iCs/>
        </w:rPr>
      </w:pPr>
    </w:p>
    <w:p w:rsidR="00F83364" w:rsidRPr="0013008F" w:rsidRDefault="00F83364" w:rsidP="00C278DF">
      <w:pPr>
        <w:contextualSpacing/>
        <w:jc w:val="both"/>
        <w:outlineLvl w:val="3"/>
        <w:rPr>
          <w:rFonts w:ascii="Arial Narrow" w:hAnsi="Arial Narrow"/>
          <w:b/>
          <w:iCs/>
          <w:sz w:val="22"/>
          <w:szCs w:val="22"/>
          <w:lang w:bidi="en-US"/>
        </w:rPr>
      </w:pPr>
      <w:r w:rsidRPr="0013008F">
        <w:rPr>
          <w:rFonts w:ascii="Arial Narrow" w:hAnsi="Arial Narrow"/>
          <w:b/>
          <w:iCs/>
          <w:sz w:val="22"/>
          <w:szCs w:val="22"/>
          <w:lang w:bidi="en-US"/>
        </w:rPr>
        <w:t>Επιδοτήσεις</w:t>
      </w:r>
    </w:p>
    <w:p w:rsidR="00F83364" w:rsidRPr="0013008F" w:rsidRDefault="00F83364" w:rsidP="00F83364">
      <w:pPr>
        <w:contextualSpacing/>
        <w:jc w:val="both"/>
        <w:outlineLvl w:val="3"/>
        <w:rPr>
          <w:bCs/>
        </w:rPr>
      </w:pPr>
    </w:p>
    <w:p w:rsidR="00F83364" w:rsidRDefault="00F83364" w:rsidP="00F83364">
      <w:pPr>
        <w:contextualSpacing/>
        <w:jc w:val="both"/>
        <w:outlineLvl w:val="3"/>
        <w:rPr>
          <w:bCs/>
        </w:rPr>
      </w:pPr>
      <w:r w:rsidRPr="0013008F">
        <w:rPr>
          <w:bCs/>
        </w:rPr>
        <w:t>Η προβλεπόμενη δαπάνη για το έτος 2021 είναι 80 εκατ. ευρώ, μειωμένη κατά 21 εκατ. ευρώ σε σχέση με την εκτίμηση για το 2020, κυρίως λόγω του γεγονότος ότι το σύνολο της δαπάνης των άγονων γραμμών θα εξυπηρετείται από το 2021 μέσω το</w:t>
      </w:r>
      <w:r w:rsidR="008D5602">
        <w:rPr>
          <w:bCs/>
        </w:rPr>
        <w:t>υ</w:t>
      </w:r>
      <w:r w:rsidRPr="0013008F">
        <w:rPr>
          <w:bCs/>
        </w:rPr>
        <w:t xml:space="preserve"> ΠΔΕ.</w:t>
      </w:r>
    </w:p>
    <w:p w:rsidR="009F1F62" w:rsidRPr="000F5656" w:rsidRDefault="009F1F62" w:rsidP="00F83364">
      <w:pPr>
        <w:contextualSpacing/>
        <w:jc w:val="both"/>
        <w:outlineLvl w:val="3"/>
        <w:rPr>
          <w:bCs/>
        </w:rPr>
      </w:pPr>
    </w:p>
    <w:p w:rsidR="00F83364" w:rsidRPr="004A178A" w:rsidRDefault="00F83364" w:rsidP="00C278DF">
      <w:pPr>
        <w:contextualSpacing/>
        <w:jc w:val="both"/>
        <w:outlineLvl w:val="3"/>
        <w:rPr>
          <w:rFonts w:ascii="Arial Narrow" w:hAnsi="Arial Narrow"/>
          <w:b/>
          <w:iCs/>
          <w:sz w:val="22"/>
          <w:szCs w:val="22"/>
          <w:lang w:bidi="en-US"/>
        </w:rPr>
      </w:pPr>
      <w:r w:rsidRPr="000F5656">
        <w:rPr>
          <w:rFonts w:ascii="Arial Narrow" w:hAnsi="Arial Narrow"/>
          <w:b/>
          <w:iCs/>
          <w:sz w:val="22"/>
          <w:szCs w:val="22"/>
          <w:lang w:bidi="en-US"/>
        </w:rPr>
        <w:t>Τόκοι</w:t>
      </w:r>
      <w:r>
        <w:rPr>
          <w:rFonts w:ascii="Arial Narrow" w:hAnsi="Arial Narrow"/>
          <w:b/>
          <w:iCs/>
          <w:sz w:val="22"/>
          <w:szCs w:val="22"/>
          <w:lang w:bidi="en-US"/>
        </w:rPr>
        <w:t xml:space="preserve"> (σε ακαθάριστη </w:t>
      </w:r>
      <w:r w:rsidRPr="004A178A">
        <w:rPr>
          <w:rFonts w:ascii="Arial Narrow" w:hAnsi="Arial Narrow"/>
          <w:b/>
          <w:iCs/>
          <w:sz w:val="22"/>
          <w:szCs w:val="22"/>
          <w:lang w:bidi="en-US"/>
        </w:rPr>
        <w:t>βάση)</w:t>
      </w:r>
    </w:p>
    <w:p w:rsidR="00F83364" w:rsidRPr="004A178A" w:rsidRDefault="00F83364" w:rsidP="00F83364">
      <w:pPr>
        <w:contextualSpacing/>
        <w:jc w:val="both"/>
        <w:outlineLvl w:val="3"/>
        <w:rPr>
          <w:iCs/>
        </w:rPr>
      </w:pPr>
    </w:p>
    <w:p w:rsidR="00F83364" w:rsidRPr="000F5656" w:rsidRDefault="00F83364" w:rsidP="00F83364">
      <w:pPr>
        <w:contextualSpacing/>
        <w:jc w:val="both"/>
        <w:outlineLvl w:val="3"/>
        <w:rPr>
          <w:iCs/>
        </w:rPr>
      </w:pPr>
      <w:r w:rsidRPr="004A178A">
        <w:rPr>
          <w:iCs/>
        </w:rPr>
        <w:t xml:space="preserve">Η </w:t>
      </w:r>
      <w:r w:rsidR="008D5602">
        <w:rPr>
          <w:iCs/>
        </w:rPr>
        <w:t>πρόβλεψη</w:t>
      </w:r>
      <w:r w:rsidRPr="004A178A">
        <w:rPr>
          <w:iCs/>
        </w:rPr>
        <w:t xml:space="preserve"> για τις δαπάνες τόκων σε ακαθάριστη δημοσιονομική βάση, ανέρχεται σε 5.650 εκατ. ευρώ, </w:t>
      </w:r>
      <w:r>
        <w:rPr>
          <w:iCs/>
        </w:rPr>
        <w:t>μειωμένη</w:t>
      </w:r>
      <w:r w:rsidRPr="004A178A">
        <w:rPr>
          <w:iCs/>
        </w:rPr>
        <w:t xml:space="preserve"> κατά 200 εκατ. ευρώ σε σχέση με την εκτίμηση για το 2020.</w:t>
      </w:r>
      <w:r w:rsidRPr="000F5656">
        <w:rPr>
          <w:iCs/>
        </w:rPr>
        <w:t xml:space="preserve"> </w:t>
      </w:r>
    </w:p>
    <w:p w:rsidR="00F83364" w:rsidRPr="000F5656" w:rsidRDefault="00F83364" w:rsidP="00F83364">
      <w:pPr>
        <w:contextualSpacing/>
        <w:jc w:val="both"/>
        <w:outlineLvl w:val="3"/>
        <w:rPr>
          <w:iCs/>
        </w:rPr>
      </w:pPr>
      <w:r w:rsidRPr="000F5656">
        <w:rPr>
          <w:iCs/>
        </w:rPr>
        <w:t xml:space="preserve"> </w:t>
      </w:r>
    </w:p>
    <w:p w:rsidR="00F83364" w:rsidRPr="000F5656" w:rsidRDefault="006D28AD" w:rsidP="00C278DF">
      <w:pPr>
        <w:contextualSpacing/>
        <w:jc w:val="both"/>
        <w:outlineLvl w:val="3"/>
        <w:rPr>
          <w:rFonts w:ascii="Arial Narrow" w:hAnsi="Arial Narrow"/>
          <w:b/>
          <w:iCs/>
          <w:sz w:val="22"/>
          <w:szCs w:val="22"/>
          <w:lang w:bidi="en-US"/>
        </w:rPr>
      </w:pPr>
      <w:r>
        <w:rPr>
          <w:rFonts w:ascii="Arial Narrow" w:hAnsi="Arial Narrow"/>
          <w:b/>
          <w:iCs/>
          <w:sz w:val="22"/>
          <w:szCs w:val="22"/>
          <w:lang w:bidi="en-US"/>
        </w:rPr>
        <w:t>Λοιπές δ</w:t>
      </w:r>
      <w:r w:rsidR="00F83364" w:rsidRPr="000F5656">
        <w:rPr>
          <w:rFonts w:ascii="Arial Narrow" w:hAnsi="Arial Narrow"/>
          <w:b/>
          <w:iCs/>
          <w:sz w:val="22"/>
          <w:szCs w:val="22"/>
          <w:lang w:bidi="en-US"/>
        </w:rPr>
        <w:t>απάνες</w:t>
      </w:r>
    </w:p>
    <w:p w:rsidR="00F83364" w:rsidRDefault="00F83364" w:rsidP="00F83364">
      <w:pPr>
        <w:contextualSpacing/>
        <w:jc w:val="both"/>
        <w:outlineLvl w:val="3"/>
        <w:rPr>
          <w:iCs/>
        </w:rPr>
      </w:pPr>
    </w:p>
    <w:p w:rsidR="00F83364" w:rsidRPr="0013008F" w:rsidRDefault="00F83364" w:rsidP="00F83364">
      <w:pPr>
        <w:contextualSpacing/>
        <w:jc w:val="both"/>
        <w:outlineLvl w:val="3"/>
        <w:rPr>
          <w:iCs/>
        </w:rPr>
      </w:pPr>
      <w:r w:rsidRPr="0013008F">
        <w:rPr>
          <w:iCs/>
        </w:rPr>
        <w:t xml:space="preserve">Στην κατηγορία </w:t>
      </w:r>
      <w:r w:rsidR="006D28AD">
        <w:rPr>
          <w:iCs/>
        </w:rPr>
        <w:t xml:space="preserve">αυτή </w:t>
      </w:r>
      <w:r w:rsidRPr="0013008F">
        <w:rPr>
          <w:iCs/>
        </w:rPr>
        <w:t>η προβλεπόμενη δαπάνη ανέρχεται σε 91 εκατ. ευρώ, 20 εκατ. ευρώ μεγαλύτερη από την αντίστοιχη εκτίμηση του 2020, λόγω της καθυστέρησης εκκαθάρισης των</w:t>
      </w:r>
      <w:r w:rsidRPr="0013008F">
        <w:t xml:space="preserve"> </w:t>
      </w:r>
      <w:r w:rsidRPr="0013008F">
        <w:rPr>
          <w:iCs/>
        </w:rPr>
        <w:t>ανεκτέλεστων προγραμμάτων από την ΕΕ.</w:t>
      </w:r>
    </w:p>
    <w:p w:rsidR="00F83364" w:rsidRPr="0013008F" w:rsidRDefault="00F83364" w:rsidP="00F83364">
      <w:pPr>
        <w:contextualSpacing/>
        <w:jc w:val="both"/>
        <w:outlineLvl w:val="3"/>
        <w:rPr>
          <w:iCs/>
        </w:rPr>
      </w:pPr>
    </w:p>
    <w:p w:rsidR="00F83364" w:rsidRPr="0013008F" w:rsidRDefault="00F83364" w:rsidP="00C278DF">
      <w:pPr>
        <w:contextualSpacing/>
        <w:jc w:val="both"/>
        <w:outlineLvl w:val="3"/>
        <w:rPr>
          <w:rFonts w:ascii="Arial Narrow" w:hAnsi="Arial Narrow"/>
          <w:b/>
          <w:iCs/>
          <w:sz w:val="22"/>
          <w:szCs w:val="22"/>
          <w:lang w:bidi="en-US"/>
        </w:rPr>
      </w:pPr>
      <w:r w:rsidRPr="0013008F">
        <w:rPr>
          <w:rFonts w:ascii="Arial Narrow" w:hAnsi="Arial Narrow"/>
          <w:b/>
          <w:iCs/>
          <w:sz w:val="22"/>
          <w:szCs w:val="22"/>
          <w:lang w:bidi="en-US"/>
        </w:rPr>
        <w:t>Πιστώσεις υπό κατανομή</w:t>
      </w:r>
    </w:p>
    <w:p w:rsidR="00F83364" w:rsidRPr="0013008F" w:rsidRDefault="00F83364" w:rsidP="00F83364">
      <w:pPr>
        <w:contextualSpacing/>
        <w:jc w:val="both"/>
        <w:outlineLvl w:val="3"/>
        <w:rPr>
          <w:bCs/>
        </w:rPr>
      </w:pPr>
    </w:p>
    <w:p w:rsidR="00F83364" w:rsidRPr="0013008F" w:rsidRDefault="00F83364" w:rsidP="00F83364">
      <w:pPr>
        <w:contextualSpacing/>
        <w:jc w:val="both"/>
        <w:outlineLvl w:val="3"/>
        <w:rPr>
          <w:bCs/>
        </w:rPr>
      </w:pPr>
      <w:r w:rsidRPr="0013008F">
        <w:rPr>
          <w:bCs/>
        </w:rPr>
        <w:t>Η πρόβλεψη για το σύνολο της κατηγορίας αυτής ανέρχεται στα 11.708 εκατ. ευρώ και σε σχέση με το 2020 οι προβλεπόμενες δαπάνες είναι αυξημένες κατά 1.</w:t>
      </w:r>
      <w:r>
        <w:rPr>
          <w:bCs/>
        </w:rPr>
        <w:t>640</w:t>
      </w:r>
      <w:r w:rsidRPr="0013008F">
        <w:rPr>
          <w:bCs/>
        </w:rPr>
        <w:t xml:space="preserve"> εκατ. ευρώ.</w:t>
      </w:r>
    </w:p>
    <w:p w:rsidR="00F83364" w:rsidRPr="0013008F" w:rsidRDefault="00F83364" w:rsidP="00F83364">
      <w:pPr>
        <w:contextualSpacing/>
        <w:jc w:val="both"/>
        <w:outlineLvl w:val="3"/>
        <w:rPr>
          <w:bCs/>
        </w:rPr>
      </w:pPr>
    </w:p>
    <w:p w:rsidR="00F83364" w:rsidRPr="0013008F" w:rsidRDefault="00F83364" w:rsidP="00F83364">
      <w:pPr>
        <w:contextualSpacing/>
        <w:jc w:val="both"/>
        <w:outlineLvl w:val="3"/>
        <w:rPr>
          <w:bCs/>
        </w:rPr>
      </w:pPr>
      <w:r w:rsidRPr="0013008F">
        <w:rPr>
          <w:bCs/>
        </w:rPr>
        <w:t>Στην κατηγορία αυτή περιλ</w:t>
      </w:r>
      <w:r w:rsidR="008D5602">
        <w:rPr>
          <w:bCs/>
        </w:rPr>
        <w:t>αμβάνονται</w:t>
      </w:r>
      <w:r w:rsidRPr="0013008F">
        <w:rPr>
          <w:bCs/>
        </w:rPr>
        <w:t xml:space="preserve"> κυρίως:</w:t>
      </w:r>
    </w:p>
    <w:p w:rsidR="00F83364" w:rsidRPr="00632FAF" w:rsidRDefault="00F83364" w:rsidP="00F83364">
      <w:pPr>
        <w:contextualSpacing/>
        <w:jc w:val="both"/>
        <w:outlineLvl w:val="3"/>
        <w:rPr>
          <w:bCs/>
          <w:sz w:val="28"/>
        </w:rPr>
      </w:pP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632FAF">
        <w:rPr>
          <w:rFonts w:ascii="Times New Roman" w:hAnsi="Times New Roman"/>
          <w:bCs/>
          <w:sz w:val="24"/>
        </w:rPr>
        <w:t xml:space="preserve">οι </w:t>
      </w:r>
      <w:r w:rsidRPr="00362D84">
        <w:rPr>
          <w:rFonts w:ascii="Times New Roman" w:hAnsi="Times New Roman"/>
          <w:sz w:val="24"/>
          <w:szCs w:val="24"/>
        </w:rPr>
        <w:t xml:space="preserve">δαπάνες του ΠΔΕ ύψους 6.750 εκατ. ευρώ, </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362D84">
        <w:rPr>
          <w:rFonts w:ascii="Times New Roman" w:hAnsi="Times New Roman"/>
          <w:sz w:val="24"/>
          <w:szCs w:val="24"/>
        </w:rPr>
        <w:t xml:space="preserve">το τακτικό και ειδικό αποθεματικό συνολικού ύψους 1.000 εκατ. ευρώ, </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362D84">
        <w:rPr>
          <w:rFonts w:ascii="Times New Roman" w:hAnsi="Times New Roman"/>
          <w:sz w:val="24"/>
          <w:szCs w:val="24"/>
        </w:rPr>
        <w:t xml:space="preserve">οι υπό κατανομή πιστώσεις για μεταβιβαστικές πληρωμές (κυρίως προς τους ΟΚΑ) ύψους 222 εκατ. ευρώ, </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362D84">
        <w:rPr>
          <w:rFonts w:ascii="Times New Roman" w:hAnsi="Times New Roman"/>
          <w:sz w:val="24"/>
          <w:szCs w:val="24"/>
        </w:rPr>
        <w:t xml:space="preserve">οι πιστώσεις για τις προγραμματισμένες νέες προσλήψεις σε φορείς της </w:t>
      </w:r>
      <w:r w:rsidR="007324A7" w:rsidRPr="00362D84">
        <w:rPr>
          <w:rFonts w:ascii="Times New Roman" w:hAnsi="Times New Roman"/>
          <w:sz w:val="24"/>
          <w:szCs w:val="24"/>
        </w:rPr>
        <w:t xml:space="preserve">Κεντρικής Διοίκησης </w:t>
      </w:r>
      <w:r w:rsidRPr="00362D84">
        <w:rPr>
          <w:rFonts w:ascii="Times New Roman" w:hAnsi="Times New Roman"/>
          <w:sz w:val="24"/>
          <w:szCs w:val="24"/>
        </w:rPr>
        <w:t xml:space="preserve">ύψους 292 εκατ. ευρώ, </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362D84">
        <w:rPr>
          <w:rFonts w:ascii="Times New Roman" w:hAnsi="Times New Roman"/>
          <w:sz w:val="24"/>
          <w:szCs w:val="24"/>
        </w:rPr>
        <w:t xml:space="preserve">οι πιστώσεις για την αντιμετώπιση της ροής προσφύγων και μεταναστών ύψους 150 εκατ. ευρώ, </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362D84">
        <w:rPr>
          <w:rFonts w:ascii="Times New Roman" w:hAnsi="Times New Roman"/>
          <w:sz w:val="24"/>
          <w:szCs w:val="24"/>
        </w:rPr>
        <w:t xml:space="preserve">η δέσμη μέτρων του επιδοτούμενου μέρους του </w:t>
      </w:r>
      <w:r w:rsidR="007324A7" w:rsidRPr="00362D84">
        <w:rPr>
          <w:rFonts w:ascii="Times New Roman" w:hAnsi="Times New Roman"/>
          <w:sz w:val="24"/>
          <w:szCs w:val="24"/>
        </w:rPr>
        <w:t xml:space="preserve">Ταμείου Ανάκαμψης </w:t>
      </w:r>
      <w:r w:rsidRPr="00362D84">
        <w:rPr>
          <w:rFonts w:ascii="Times New Roman" w:hAnsi="Times New Roman"/>
          <w:sz w:val="24"/>
          <w:szCs w:val="24"/>
        </w:rPr>
        <w:t xml:space="preserve">ύψους 2.635 εκατ. ευρώ και </w:t>
      </w:r>
    </w:p>
    <w:p w:rsidR="00F83364" w:rsidRPr="00362D84" w:rsidRDefault="00F83364" w:rsidP="00FE7E83">
      <w:pPr>
        <w:pStyle w:val="ListParagraph"/>
        <w:numPr>
          <w:ilvl w:val="0"/>
          <w:numId w:val="4"/>
        </w:numPr>
        <w:spacing w:after="0" w:line="240" w:lineRule="auto"/>
        <w:ind w:left="284" w:hanging="284"/>
        <w:jc w:val="both"/>
        <w:rPr>
          <w:rFonts w:ascii="Times New Roman" w:hAnsi="Times New Roman"/>
          <w:sz w:val="24"/>
          <w:szCs w:val="24"/>
        </w:rPr>
      </w:pPr>
      <w:r w:rsidRPr="00362D84">
        <w:rPr>
          <w:rFonts w:ascii="Times New Roman" w:hAnsi="Times New Roman"/>
          <w:sz w:val="24"/>
          <w:szCs w:val="24"/>
        </w:rPr>
        <w:t>λοιπές δράσεις κατά της πανδημίας πέραν των ήδη προσδιορισμένων, ύψους 600 εκατ. ευρώ.</w:t>
      </w:r>
    </w:p>
    <w:p w:rsidR="00F83364" w:rsidRDefault="00F83364" w:rsidP="00F83364">
      <w:pPr>
        <w:contextualSpacing/>
        <w:jc w:val="both"/>
        <w:outlineLvl w:val="3"/>
        <w:rPr>
          <w:bCs/>
        </w:rPr>
      </w:pPr>
    </w:p>
    <w:p w:rsidR="00F83364" w:rsidRDefault="00F83364" w:rsidP="00C278DF">
      <w:pPr>
        <w:contextualSpacing/>
        <w:jc w:val="both"/>
        <w:outlineLvl w:val="3"/>
        <w:rPr>
          <w:rFonts w:ascii="Arial Narrow" w:hAnsi="Arial Narrow"/>
          <w:b/>
          <w:iCs/>
          <w:sz w:val="22"/>
          <w:szCs w:val="22"/>
          <w:lang w:bidi="en-US"/>
        </w:rPr>
      </w:pPr>
      <w:r w:rsidRPr="000F5656">
        <w:rPr>
          <w:rFonts w:ascii="Arial Narrow" w:hAnsi="Arial Narrow"/>
          <w:b/>
          <w:iCs/>
          <w:sz w:val="22"/>
          <w:szCs w:val="22"/>
          <w:lang w:bidi="en-US"/>
        </w:rPr>
        <w:t>Πάγια περιουσιακά στοιχεία</w:t>
      </w:r>
    </w:p>
    <w:p w:rsidR="00F83364" w:rsidRPr="000F5656" w:rsidRDefault="00F83364" w:rsidP="00F83364">
      <w:pPr>
        <w:ind w:left="360"/>
        <w:contextualSpacing/>
        <w:jc w:val="both"/>
        <w:outlineLvl w:val="3"/>
        <w:rPr>
          <w:rFonts w:ascii="Arial Narrow" w:hAnsi="Arial Narrow"/>
          <w:b/>
          <w:iCs/>
          <w:sz w:val="22"/>
          <w:szCs w:val="22"/>
          <w:lang w:bidi="en-US"/>
        </w:rPr>
      </w:pPr>
    </w:p>
    <w:p w:rsidR="00F83364" w:rsidRDefault="00F83364" w:rsidP="00F83364">
      <w:pPr>
        <w:contextualSpacing/>
        <w:jc w:val="both"/>
        <w:outlineLvl w:val="3"/>
        <w:rPr>
          <w:bCs/>
        </w:rPr>
      </w:pPr>
      <w:r>
        <w:rPr>
          <w:bCs/>
          <w:iCs/>
          <w:szCs w:val="22"/>
        </w:rPr>
        <w:t xml:space="preserve">Η </w:t>
      </w:r>
      <w:r>
        <w:rPr>
          <w:bCs/>
        </w:rPr>
        <w:t xml:space="preserve">προβλεπόμενη </w:t>
      </w:r>
      <w:r w:rsidRPr="0013008F">
        <w:rPr>
          <w:bCs/>
        </w:rPr>
        <w:t>δαπάνη</w:t>
      </w:r>
      <w:r w:rsidRPr="0013008F">
        <w:rPr>
          <w:bCs/>
          <w:iCs/>
          <w:szCs w:val="22"/>
        </w:rPr>
        <w:t xml:space="preserve"> θα ανέλθει στα 1.590 εκατ. ευρώ</w:t>
      </w:r>
      <w:r w:rsidRPr="0013008F">
        <w:rPr>
          <w:bCs/>
        </w:rPr>
        <w:t xml:space="preserve">, </w:t>
      </w:r>
      <w:r w:rsidRPr="0013008F">
        <w:rPr>
          <w:iCs/>
        </w:rPr>
        <w:t xml:space="preserve">λόγω της </w:t>
      </w:r>
      <w:r w:rsidRPr="0013008F">
        <w:rPr>
          <w:bCs/>
          <w:iCs/>
          <w:szCs w:val="22"/>
        </w:rPr>
        <w:t>αύξησης των φυσικών παραλαβών των εξοπλιστικών προγραμμάτων</w:t>
      </w:r>
      <w:r>
        <w:rPr>
          <w:bCs/>
          <w:iCs/>
          <w:szCs w:val="22"/>
        </w:rPr>
        <w:t xml:space="preserve"> του Υπουργείου Εθνικής Άμυνας</w:t>
      </w:r>
      <w:r w:rsidRPr="000F5656">
        <w:rPr>
          <w:bCs/>
        </w:rPr>
        <w:t>.</w:t>
      </w:r>
    </w:p>
    <w:p w:rsidR="000D05B1" w:rsidRDefault="000D05B1" w:rsidP="00C46734">
      <w:pPr>
        <w:contextualSpacing/>
        <w:jc w:val="both"/>
        <w:outlineLvl w:val="3"/>
        <w:rPr>
          <w:bCs/>
        </w:rPr>
      </w:pPr>
    </w:p>
    <w:p w:rsidR="00D63639" w:rsidRPr="00F83364" w:rsidRDefault="00D63639" w:rsidP="00C46734">
      <w:pPr>
        <w:contextualSpacing/>
        <w:jc w:val="both"/>
        <w:outlineLvl w:val="3"/>
        <w:rPr>
          <w:bCs/>
        </w:rPr>
      </w:pPr>
    </w:p>
    <w:p w:rsidR="00F92BE8" w:rsidRPr="005A00E1" w:rsidRDefault="00D63639" w:rsidP="00F92BE8">
      <w:pPr>
        <w:contextualSpacing/>
        <w:jc w:val="both"/>
        <w:rPr>
          <w:rFonts w:ascii="Arial Narrow" w:hAnsi="Arial Narrow"/>
          <w:b/>
          <w:color w:val="000080"/>
        </w:rPr>
      </w:pPr>
      <w:r>
        <w:rPr>
          <w:rFonts w:ascii="Arial Narrow" w:hAnsi="Arial Narrow"/>
          <w:b/>
          <w:color w:val="000080"/>
        </w:rPr>
        <w:t>2.2</w:t>
      </w:r>
      <w:r w:rsidR="00F92BE8" w:rsidRPr="005A00E1">
        <w:rPr>
          <w:rFonts w:ascii="Arial Narrow" w:hAnsi="Arial Narrow"/>
          <w:b/>
          <w:color w:val="000080"/>
        </w:rPr>
        <w:tab/>
        <w:t>Πρόγραμμα Δημοσίων Επενδύσεων (ΠΔΕ)</w:t>
      </w:r>
    </w:p>
    <w:p w:rsidR="005A00E1" w:rsidRPr="00E82E52" w:rsidRDefault="005A00E1" w:rsidP="005A00E1">
      <w:pPr>
        <w:jc w:val="both"/>
      </w:pPr>
    </w:p>
    <w:p w:rsidR="005A00E1" w:rsidRPr="00E82E52" w:rsidRDefault="005A00E1" w:rsidP="005A00E1">
      <w:pPr>
        <w:jc w:val="both"/>
      </w:pPr>
      <w:r w:rsidRPr="00E82E52">
        <w:t xml:space="preserve">Το ΠΔΕ χρηματοδοτεί την αναπτυξιακή πολιτική της χώρας με δράσεις που συμβάλλουν στην αύξηση του ιδιωτικού και δημόσιου κεφαλαίου της οικονομίας και στηρίζουν την αναπτυξιακή διαδικασία και τον εκσυγχρονισμό της χώρας σε μακροχρόνια βάση. </w:t>
      </w:r>
    </w:p>
    <w:p w:rsidR="005A00E1" w:rsidRPr="00E82E52" w:rsidRDefault="005A00E1" w:rsidP="005A00E1">
      <w:pPr>
        <w:jc w:val="both"/>
      </w:pPr>
    </w:p>
    <w:p w:rsidR="005A00E1" w:rsidRPr="00E82E52" w:rsidRDefault="005A00E1" w:rsidP="005A00E1">
      <w:pPr>
        <w:jc w:val="both"/>
      </w:pPr>
      <w:r w:rsidRPr="00E82E52">
        <w:t>Για το έτος 2021 προβλέπεται η διάθεση πόρων ύψους 6.750 εκατ. ευρώ, με κατανομή της συνολικής δαπάνης μεταξύ των έργων που θα συγχρηματοδοτηθούν από πόρους της Ευρωπαϊκής Ένωσης, ύψους 6.000 εκατ. ευρώ και εκείνων που θα χρηματοδοτηθούν αποκλειστικά από εθνικούς πόρους, ύψους 750 εκατ. ευρώ.</w:t>
      </w:r>
    </w:p>
    <w:p w:rsidR="005A00E1" w:rsidRPr="00E82E52" w:rsidRDefault="005A00E1" w:rsidP="005A00E1">
      <w:pPr>
        <w:jc w:val="both"/>
      </w:pPr>
    </w:p>
    <w:p w:rsidR="005A00E1" w:rsidRPr="00E82E52" w:rsidRDefault="005A00E1" w:rsidP="005A00E1">
      <w:pPr>
        <w:jc w:val="both"/>
      </w:pPr>
      <w:r w:rsidRPr="00E82E52">
        <w:t>Σταθερή επιδίωξη για την υλοποίηση του συγχρηματοδοτούμενου</w:t>
      </w:r>
      <w:r w:rsidR="00D63639">
        <w:t xml:space="preserve"> σκέλους του ΠΔΕ και για το 2021</w:t>
      </w:r>
      <w:r w:rsidRPr="00E82E52">
        <w:t xml:space="preserve"> παραμένει η απορρόφηση των πόρων, έτσι ώστε να εξασφαλιστεί η εισροή της αναλογούσας κοινοτικής συνδρομής. Στο πλ</w:t>
      </w:r>
      <w:r w:rsidR="00BE510B">
        <w:t>αίσιο των δράσεων του ΕΣΠΑ 2014-</w:t>
      </w:r>
      <w:r w:rsidRPr="00E82E52">
        <w:t>2020</w:t>
      </w:r>
      <w:r w:rsidR="00D63639">
        <w:t>,</w:t>
      </w:r>
      <w:r w:rsidRPr="00E82E52">
        <w:t xml:space="preserve"> ιδιαίτερη έμφαση δίδεται στους τομείς των μεγάλων έργων υποδο</w:t>
      </w:r>
      <w:r w:rsidR="00BE510B">
        <w:t>μών (οδικά έργα, σιδηρόδρομοι, μ</w:t>
      </w:r>
      <w:r w:rsidRPr="00E82E52">
        <w:t>ετρό κ</w:t>
      </w:r>
      <w:r w:rsidR="00BE510B">
        <w:t>.</w:t>
      </w:r>
      <w:r w:rsidRPr="00E82E52">
        <w:t>λπ</w:t>
      </w:r>
      <w:r w:rsidR="00BE510B">
        <w:t>.</w:t>
      </w:r>
      <w:r w:rsidRPr="00E82E52">
        <w:t>), της επιχειρηματικότητας (κυρίως στους τομείς της μεταποίησης και του τουρισμού), της δημιουργίας απασχόλησης, της εκπαίδευσης και κατάρτισης, της υγείας και της πρόνοιας, των έργων για την προστασία του περιβάλλοντος, των έργων υποδομών των ΟΤΑ όλης της χώρας και των δράσεων για τη διοικητική μεταρρύθμιση.</w:t>
      </w:r>
    </w:p>
    <w:p w:rsidR="005A00E1" w:rsidRPr="00E82E52" w:rsidRDefault="005A00E1" w:rsidP="005A00E1">
      <w:pPr>
        <w:jc w:val="both"/>
      </w:pPr>
    </w:p>
    <w:p w:rsidR="005A00E1" w:rsidRDefault="005A00E1" w:rsidP="005A00E1">
      <w:pPr>
        <w:jc w:val="both"/>
      </w:pPr>
      <w:r w:rsidRPr="00E82E52">
        <w:t>Σε ό,τι αφορά το Εθνικό σκέλος του ΠΔΕ, χρηματοδοτούνται αναπτυξιακές δράσεις του Κράτους που δεν είναι επιλέξιμες σε συγχρηματοδοτούμενα προγράμματα, αναπτυξιακές δράσεις της Τοπικής Αυτοδιοίκησης, δράσεις ενίσχυσης της κοινωνικής συνοχής και της πολιτικής προστασίας, εξυπηρετούνται οι ανάγκες των επενδυτικών νόμων και καλύπτονται έκτακτες ανάγκες, όπως η αποκατάσταση ζημιών σε έργα υποδομής από σεισμούς, πυρκαγιές και άλλες φυσικές καταστροφές. Δίνεται ιδιαίτερη βαρύτητα στον ορθό προγραμματισμό και τη στόχευση με βασικότερο εργαλείο την αξιοποίηση των δυνατοτήτων των νέων τεχνολογιών. Στην κατεύθυνση αυτή, εγκρίθηκε από το Υπουργικό Συμβούλιο το Εθνικό Πρόγραμμα Ανάπτυξης (ΕΠΑ) 2021-2025, με το οποίο οι πλέον σύγχρονες μέθοδοι και διαδικασίες για την έγκριση, χρηματοδότηση, υλοποίηση, παρακο</w:t>
      </w:r>
      <w:r w:rsidR="00BE510B">
        <w:t>λούθηση και τον έλεγχο του ΠΔΕ -</w:t>
      </w:r>
      <w:r w:rsidRPr="00E82E52">
        <w:t xml:space="preserve"> στα πρότυπα των αντίστοιχων συγχρηματοδοτούμενων Προγραμ</w:t>
      </w:r>
      <w:r w:rsidR="00BE510B">
        <w:t>μάτων -</w:t>
      </w:r>
      <w:r w:rsidRPr="00E82E52">
        <w:t xml:space="preserve"> πρόκειται να υιοθετηθούν για τα έργα που χρηματοδοτούνται αμιγώς από εθνικούς πόρους.</w:t>
      </w:r>
    </w:p>
    <w:p w:rsidR="00D63639" w:rsidRDefault="00D63639" w:rsidP="005A00E1">
      <w:pPr>
        <w:jc w:val="both"/>
      </w:pPr>
    </w:p>
    <w:p w:rsidR="00D63639" w:rsidRPr="008A7B5B" w:rsidRDefault="00D63639" w:rsidP="005A00E1">
      <w:pPr>
        <w:jc w:val="both"/>
      </w:pPr>
    </w:p>
    <w:p w:rsidR="00721AF9" w:rsidRPr="008A7B5B" w:rsidRDefault="00D63639" w:rsidP="00721AF9">
      <w:pPr>
        <w:contextualSpacing/>
        <w:jc w:val="both"/>
        <w:rPr>
          <w:rFonts w:ascii="Arial Narrow" w:hAnsi="Arial Narrow"/>
          <w:b/>
          <w:bCs/>
          <w:color w:val="000080"/>
          <w:szCs w:val="22"/>
        </w:rPr>
      </w:pPr>
      <w:r>
        <w:rPr>
          <w:rFonts w:ascii="Arial Narrow" w:hAnsi="Arial Narrow"/>
          <w:b/>
          <w:bCs/>
          <w:color w:val="000080"/>
          <w:szCs w:val="22"/>
        </w:rPr>
        <w:t>2.3</w:t>
      </w:r>
      <w:r w:rsidR="00721AF9" w:rsidRPr="008A7B5B">
        <w:rPr>
          <w:rFonts w:ascii="Arial Narrow" w:hAnsi="Arial Narrow"/>
          <w:b/>
          <w:bCs/>
          <w:color w:val="000080"/>
          <w:szCs w:val="22"/>
        </w:rPr>
        <w:tab/>
        <w:t>Λοιποί υποτομείς Γενικής Κυβέρνησης</w:t>
      </w:r>
    </w:p>
    <w:p w:rsidR="00721AF9" w:rsidRPr="00430C68" w:rsidRDefault="00721AF9" w:rsidP="00721AF9">
      <w:pPr>
        <w:contextualSpacing/>
        <w:jc w:val="both"/>
        <w:outlineLvl w:val="3"/>
        <w:rPr>
          <w:strike/>
          <w:szCs w:val="22"/>
        </w:rPr>
      </w:pPr>
    </w:p>
    <w:p w:rsidR="00B82E15" w:rsidRPr="008A7B5B" w:rsidRDefault="00B82E15" w:rsidP="00B82E15">
      <w:pPr>
        <w:tabs>
          <w:tab w:val="left" w:pos="360"/>
        </w:tabs>
        <w:contextualSpacing/>
        <w:jc w:val="both"/>
        <w:rPr>
          <w:rFonts w:ascii="Arial Narrow" w:hAnsi="Arial Narrow"/>
          <w:b/>
          <w:color w:val="000080"/>
          <w:sz w:val="22"/>
          <w:szCs w:val="22"/>
        </w:rPr>
      </w:pPr>
      <w:r w:rsidRPr="008A7B5B">
        <w:rPr>
          <w:rFonts w:ascii="Arial Narrow" w:hAnsi="Arial Narrow"/>
          <w:b/>
          <w:color w:val="000080"/>
          <w:sz w:val="22"/>
          <w:szCs w:val="22"/>
        </w:rPr>
        <w:t>Νομικά Πρόσωπα</w:t>
      </w:r>
    </w:p>
    <w:p w:rsidR="00B82E15" w:rsidRPr="00430C68" w:rsidRDefault="00B82E15" w:rsidP="00B82E15">
      <w:pPr>
        <w:jc w:val="both"/>
        <w:rPr>
          <w:strike/>
          <w:szCs w:val="22"/>
        </w:rPr>
      </w:pPr>
    </w:p>
    <w:p w:rsidR="00B82E15" w:rsidRPr="00D63639" w:rsidRDefault="00D63639" w:rsidP="00B82E15">
      <w:pPr>
        <w:jc w:val="both"/>
        <w:rPr>
          <w:szCs w:val="22"/>
        </w:rPr>
      </w:pPr>
      <w:r w:rsidRPr="00D63639">
        <w:rPr>
          <w:szCs w:val="22"/>
        </w:rPr>
        <w:t xml:space="preserve">Το </w:t>
      </w:r>
      <w:r w:rsidR="00B82E15" w:rsidRPr="00D63639">
        <w:rPr>
          <w:szCs w:val="22"/>
        </w:rPr>
        <w:t>δημοσιονομικό αποτέλεσμα των ν</w:t>
      </w:r>
      <w:r>
        <w:rPr>
          <w:szCs w:val="22"/>
        </w:rPr>
        <w:t>ομικών προσώπων για το έτος 2021</w:t>
      </w:r>
      <w:r w:rsidR="00B82E15" w:rsidRPr="00D63639">
        <w:rPr>
          <w:szCs w:val="22"/>
        </w:rPr>
        <w:t xml:space="preserve"> αναμένεται να δια</w:t>
      </w:r>
      <w:r>
        <w:rPr>
          <w:szCs w:val="22"/>
        </w:rPr>
        <w:t>μορφωθεί στα 2.260</w:t>
      </w:r>
      <w:r w:rsidR="00B82E15" w:rsidRPr="00D63639">
        <w:rPr>
          <w:szCs w:val="22"/>
        </w:rPr>
        <w:t xml:space="preserve"> εκατ. ευρώ, </w:t>
      </w:r>
      <w:r>
        <w:rPr>
          <w:szCs w:val="22"/>
        </w:rPr>
        <w:t xml:space="preserve">χαμηλότερο </w:t>
      </w:r>
      <w:r w:rsidR="00B82E15" w:rsidRPr="00D63639">
        <w:rPr>
          <w:szCs w:val="22"/>
        </w:rPr>
        <w:t xml:space="preserve">κατά </w:t>
      </w:r>
      <w:r>
        <w:rPr>
          <w:szCs w:val="22"/>
        </w:rPr>
        <w:t>1.587</w:t>
      </w:r>
      <w:r w:rsidR="00B82E15" w:rsidRPr="00D63639">
        <w:rPr>
          <w:szCs w:val="22"/>
        </w:rPr>
        <w:t xml:space="preserve"> εκατ. ευρώ σε σχέση με την εκτίμηση για το έτος</w:t>
      </w:r>
      <w:r>
        <w:rPr>
          <w:szCs w:val="22"/>
        </w:rPr>
        <w:t xml:space="preserve"> 2020</w:t>
      </w:r>
      <w:r w:rsidR="00B82E15" w:rsidRPr="00D63639">
        <w:rPr>
          <w:szCs w:val="22"/>
        </w:rPr>
        <w:t>, κυρίως λόγω τ</w:t>
      </w:r>
      <w:r>
        <w:rPr>
          <w:szCs w:val="22"/>
        </w:rPr>
        <w:t>ων μειωμένων κεφαλαιακών μεταβιβάσεων από τον Κρατικό Προϋπολογισμό.</w:t>
      </w:r>
    </w:p>
    <w:p w:rsidR="00B82E15" w:rsidRDefault="00B82E15" w:rsidP="00721AF9">
      <w:pPr>
        <w:contextualSpacing/>
        <w:jc w:val="both"/>
        <w:outlineLvl w:val="3"/>
        <w:rPr>
          <w:szCs w:val="22"/>
        </w:rPr>
      </w:pPr>
    </w:p>
    <w:p w:rsidR="00212568" w:rsidRPr="00657D68" w:rsidRDefault="00212568" w:rsidP="00721AF9">
      <w:pPr>
        <w:contextualSpacing/>
        <w:jc w:val="both"/>
        <w:outlineLvl w:val="3"/>
        <w:rPr>
          <w:szCs w:val="22"/>
        </w:rPr>
      </w:pPr>
    </w:p>
    <w:p w:rsidR="00B63679" w:rsidRPr="00657D68" w:rsidRDefault="00B63679" w:rsidP="00B63679">
      <w:pPr>
        <w:rPr>
          <w:rFonts w:ascii="Arial Narrow" w:hAnsi="Arial Narrow"/>
          <w:b/>
          <w:bCs/>
          <w:color w:val="000080"/>
          <w:sz w:val="22"/>
        </w:rPr>
      </w:pPr>
      <w:r w:rsidRPr="00657D68">
        <w:rPr>
          <w:rFonts w:ascii="Arial Narrow" w:hAnsi="Arial Narrow"/>
          <w:b/>
          <w:bCs/>
          <w:color w:val="000080"/>
          <w:sz w:val="22"/>
        </w:rPr>
        <w:t xml:space="preserve">Νοσοκομεία και Πρωτοβάθμια Φροντίδα Υγείας </w:t>
      </w:r>
    </w:p>
    <w:p w:rsidR="00B63679" w:rsidRPr="00657D68" w:rsidRDefault="00B63679" w:rsidP="00B63679">
      <w:pPr>
        <w:rPr>
          <w:u w:val="single"/>
        </w:rPr>
      </w:pPr>
    </w:p>
    <w:p w:rsidR="00B63679" w:rsidRDefault="00B63679" w:rsidP="00B63679">
      <w:pPr>
        <w:jc w:val="both"/>
      </w:pPr>
      <w:r w:rsidRPr="00657D68">
        <w:t xml:space="preserve">Η πρόβλεψη για το δημοσιονομικό αποτέλεσμα των </w:t>
      </w:r>
      <w:r w:rsidR="00D63639" w:rsidRPr="00657D68">
        <w:t xml:space="preserve">Νοσοκομείων </w:t>
      </w:r>
      <w:r w:rsidR="00657D68">
        <w:t xml:space="preserve">και της ΠΦΥ </w:t>
      </w:r>
      <w:r w:rsidRPr="00657D68">
        <w:t xml:space="preserve">αναμένεται να διαμορφωθεί </w:t>
      </w:r>
      <w:r w:rsidR="00657D68">
        <w:t>σε έλλειμμα ύψους 1</w:t>
      </w:r>
      <w:r w:rsidR="007E660C" w:rsidRPr="00657D68">
        <w:t>4</w:t>
      </w:r>
      <w:r w:rsidRPr="00657D68">
        <w:t xml:space="preserve"> εκατ. ευρώ, </w:t>
      </w:r>
      <w:r w:rsidR="00657D68">
        <w:t>παρουσιάζοντας βελτίωση κατά 52 εκατ. ευρώ σε σχέση προς το αντίστοιχο εκτιμώμενο μέγεθος για το τρέχον έτος.</w:t>
      </w:r>
    </w:p>
    <w:p w:rsidR="00657D68" w:rsidRDefault="00657D68" w:rsidP="00B63679">
      <w:pPr>
        <w:jc w:val="both"/>
      </w:pPr>
    </w:p>
    <w:p w:rsidR="00657D68" w:rsidRPr="00657D68" w:rsidRDefault="00657D68" w:rsidP="00B63679">
      <w:pPr>
        <w:jc w:val="both"/>
      </w:pPr>
      <w:r>
        <w:t>Ειδικότερα, αναμένεται αύξηση εσόδων κατά 21 εκατ. ευρώ, ενώ στο σκέλος των εξόδων προβλέπεται μείωση κατά 31 εκατ. ευρώ, σε σχέση προς τα εκτιμώμενα μεγέθη το</w:t>
      </w:r>
      <w:r w:rsidR="00D63639">
        <w:t>υ</w:t>
      </w:r>
      <w:r>
        <w:t xml:space="preserve"> έτο</w:t>
      </w:r>
      <w:r w:rsidR="00D63639">
        <w:t>υ</w:t>
      </w:r>
      <w:r>
        <w:t>ς 2020.</w:t>
      </w:r>
    </w:p>
    <w:p w:rsidR="000D05B1" w:rsidRPr="00657D68" w:rsidRDefault="000D05B1" w:rsidP="00721AF9">
      <w:pPr>
        <w:tabs>
          <w:tab w:val="left" w:pos="360"/>
        </w:tabs>
        <w:contextualSpacing/>
        <w:jc w:val="both"/>
        <w:rPr>
          <w:rFonts w:ascii="Arial Narrow" w:hAnsi="Arial Narrow"/>
          <w:b/>
          <w:color w:val="000080"/>
          <w:sz w:val="22"/>
          <w:szCs w:val="22"/>
        </w:rPr>
      </w:pPr>
    </w:p>
    <w:p w:rsidR="00721AF9" w:rsidRPr="008678C8" w:rsidRDefault="008A7B5B" w:rsidP="00721AF9">
      <w:pPr>
        <w:tabs>
          <w:tab w:val="left" w:pos="360"/>
        </w:tabs>
        <w:contextualSpacing/>
        <w:jc w:val="both"/>
        <w:rPr>
          <w:rFonts w:ascii="Arial Narrow" w:hAnsi="Arial Narrow"/>
          <w:b/>
          <w:color w:val="000080"/>
          <w:sz w:val="22"/>
          <w:szCs w:val="22"/>
        </w:rPr>
      </w:pPr>
      <w:r>
        <w:rPr>
          <w:rFonts w:ascii="Arial Narrow" w:hAnsi="Arial Narrow"/>
          <w:b/>
          <w:color w:val="000080"/>
          <w:sz w:val="22"/>
          <w:szCs w:val="22"/>
        </w:rPr>
        <w:t xml:space="preserve">Οργανισμοί </w:t>
      </w:r>
      <w:r w:rsidR="00721AF9" w:rsidRPr="008678C8">
        <w:rPr>
          <w:rFonts w:ascii="Arial Narrow" w:hAnsi="Arial Narrow"/>
          <w:b/>
          <w:color w:val="000080"/>
          <w:sz w:val="22"/>
          <w:szCs w:val="22"/>
        </w:rPr>
        <w:t>Τοπική</w:t>
      </w:r>
      <w:r>
        <w:rPr>
          <w:rFonts w:ascii="Arial Narrow" w:hAnsi="Arial Narrow"/>
          <w:b/>
          <w:color w:val="000080"/>
          <w:sz w:val="22"/>
          <w:szCs w:val="22"/>
        </w:rPr>
        <w:t>ς</w:t>
      </w:r>
      <w:r w:rsidR="00721AF9" w:rsidRPr="008678C8">
        <w:rPr>
          <w:rFonts w:ascii="Arial Narrow" w:hAnsi="Arial Narrow"/>
          <w:b/>
          <w:color w:val="000080"/>
          <w:sz w:val="22"/>
          <w:szCs w:val="22"/>
        </w:rPr>
        <w:t xml:space="preserve"> Αυτοδιοίκηση</w:t>
      </w:r>
      <w:r>
        <w:rPr>
          <w:rFonts w:ascii="Arial Narrow" w:hAnsi="Arial Narrow"/>
          <w:b/>
          <w:color w:val="000080"/>
          <w:sz w:val="22"/>
          <w:szCs w:val="22"/>
        </w:rPr>
        <w:t>ς (ΟΤΑ)</w:t>
      </w:r>
    </w:p>
    <w:p w:rsidR="00721AF9" w:rsidRPr="008678C8" w:rsidRDefault="00721AF9" w:rsidP="00721AF9">
      <w:pPr>
        <w:jc w:val="both"/>
      </w:pPr>
    </w:p>
    <w:p w:rsidR="00721AF9" w:rsidRPr="008678C8" w:rsidRDefault="00721AF9" w:rsidP="00721AF9">
      <w:pPr>
        <w:jc w:val="both"/>
      </w:pPr>
      <w:r w:rsidRPr="008678C8">
        <w:t xml:space="preserve">Το </w:t>
      </w:r>
      <w:r w:rsidR="008678C8">
        <w:t xml:space="preserve">ισοζύγιο των ΟΤΑ κατά </w:t>
      </w:r>
      <w:r w:rsidR="008678C8">
        <w:rPr>
          <w:lang w:val="en-US"/>
        </w:rPr>
        <w:t>ESA</w:t>
      </w:r>
      <w:r w:rsidR="008678C8">
        <w:t xml:space="preserve"> για το 2021, προβλέπεται να διαμορφωθεί σε έλλειμμα ύψους 51 εκατ. ευρώ, βελτιωμένο κατά 49 εκατ. ευρώ έναντι της τρέχουσας εκτίμησης για το 2020. Ο</w:t>
      </w:r>
      <w:r w:rsidR="009A7B50">
        <w:t>ι</w:t>
      </w:r>
      <w:r w:rsidR="008678C8">
        <w:t xml:space="preserve"> βασικότερο</w:t>
      </w:r>
      <w:r w:rsidR="009A7B50">
        <w:t>ι παράγοντε</w:t>
      </w:r>
      <w:r w:rsidR="008678C8">
        <w:t>ς της μεταβολής αυτής είναι η προβλεπόμενη αύξηση των ιδίων εσόδων, η οποία θα καλύψει ένα σημαντικό μέρος της υστέρησης που προέκυψε το 2020 λ</w:t>
      </w:r>
      <w:r w:rsidR="009A7B50">
        <w:t xml:space="preserve">όγω των συνεπειών της πανδημίας, καθώς και </w:t>
      </w:r>
      <w:r w:rsidR="00212568">
        <w:t xml:space="preserve">λόγω της χρονικής μετάθεσης και </w:t>
      </w:r>
      <w:r w:rsidR="009A7B50">
        <w:t>της θετικής επίπτωσης από τη δήλωση της ορθής επιφάνειας των κτισμάτων.</w:t>
      </w:r>
    </w:p>
    <w:p w:rsidR="008308E7" w:rsidRPr="00430C68" w:rsidRDefault="008308E7">
      <w:pPr>
        <w:rPr>
          <w:strike/>
          <w:szCs w:val="22"/>
        </w:rPr>
      </w:pPr>
    </w:p>
    <w:p w:rsidR="002C640A" w:rsidRPr="00B13902" w:rsidRDefault="008A7B5B" w:rsidP="002C640A">
      <w:pPr>
        <w:jc w:val="both"/>
        <w:rPr>
          <w:rFonts w:ascii="Arial Narrow" w:hAnsi="Arial Narrow"/>
          <w:b/>
          <w:bCs/>
          <w:color w:val="000080"/>
          <w:sz w:val="22"/>
        </w:rPr>
      </w:pPr>
      <w:r>
        <w:rPr>
          <w:rFonts w:ascii="Arial Narrow" w:hAnsi="Arial Narrow"/>
          <w:b/>
          <w:bCs/>
          <w:color w:val="000080"/>
          <w:sz w:val="22"/>
        </w:rPr>
        <w:t xml:space="preserve">Οργανισμοί </w:t>
      </w:r>
      <w:r w:rsidR="002C640A" w:rsidRPr="00B13902">
        <w:rPr>
          <w:rFonts w:ascii="Arial Narrow" w:hAnsi="Arial Narrow"/>
          <w:b/>
          <w:bCs/>
          <w:color w:val="000080"/>
          <w:sz w:val="22"/>
        </w:rPr>
        <w:t>Κοινωνικ</w:t>
      </w:r>
      <w:r>
        <w:rPr>
          <w:rFonts w:ascii="Arial Narrow" w:hAnsi="Arial Narrow"/>
          <w:b/>
          <w:bCs/>
          <w:color w:val="000080"/>
          <w:sz w:val="22"/>
        </w:rPr>
        <w:t>ής</w:t>
      </w:r>
      <w:r w:rsidR="002C640A" w:rsidRPr="00B13902">
        <w:rPr>
          <w:rFonts w:ascii="Arial Narrow" w:hAnsi="Arial Narrow"/>
          <w:b/>
          <w:bCs/>
          <w:color w:val="000080"/>
          <w:sz w:val="22"/>
        </w:rPr>
        <w:t xml:space="preserve"> </w:t>
      </w:r>
      <w:r>
        <w:rPr>
          <w:rFonts w:ascii="Arial Narrow" w:hAnsi="Arial Narrow"/>
          <w:b/>
          <w:bCs/>
          <w:color w:val="000080"/>
          <w:sz w:val="22"/>
        </w:rPr>
        <w:t>Ασφάλισης</w:t>
      </w:r>
      <w:r w:rsidR="002C640A" w:rsidRPr="00B13902">
        <w:rPr>
          <w:rFonts w:ascii="Arial Narrow" w:hAnsi="Arial Narrow"/>
          <w:b/>
          <w:bCs/>
          <w:color w:val="000080"/>
          <w:sz w:val="22"/>
        </w:rPr>
        <w:t xml:space="preserve"> (</w:t>
      </w:r>
      <w:r>
        <w:rPr>
          <w:rFonts w:ascii="Arial Narrow" w:hAnsi="Arial Narrow"/>
          <w:b/>
          <w:bCs/>
          <w:color w:val="000080"/>
          <w:sz w:val="22"/>
        </w:rPr>
        <w:t>ΟΚΑ</w:t>
      </w:r>
      <w:r w:rsidR="002C640A" w:rsidRPr="00B13902">
        <w:rPr>
          <w:rFonts w:ascii="Arial Narrow" w:hAnsi="Arial Narrow"/>
          <w:b/>
          <w:bCs/>
          <w:color w:val="000080"/>
          <w:sz w:val="22"/>
        </w:rPr>
        <w:t>)</w:t>
      </w:r>
    </w:p>
    <w:p w:rsidR="002C640A" w:rsidRPr="00B13902" w:rsidRDefault="002C640A" w:rsidP="002C640A">
      <w:pPr>
        <w:jc w:val="both"/>
      </w:pPr>
    </w:p>
    <w:p w:rsidR="00216397" w:rsidRDefault="00216397" w:rsidP="00216397">
      <w:pPr>
        <w:contextualSpacing/>
        <w:jc w:val="both"/>
      </w:pPr>
      <w:r w:rsidRPr="0032024C">
        <w:t>Το δημοσιονομικό αποτέλεσμα του υποτομέα των ΟΚΑ προβλέπεται να διαμορφωθεί σε πλεόνασμα ύψους 1.065 εκατ. ευρώ παρουσιάζοντας βελτίωση, σε σχέση με την εκτίμηση έτους 2020, κατά 1.063 εκατ. ευρώ.</w:t>
      </w:r>
    </w:p>
    <w:p w:rsidR="00216397" w:rsidRPr="0032024C" w:rsidRDefault="00216397" w:rsidP="00216397">
      <w:pPr>
        <w:contextualSpacing/>
        <w:jc w:val="both"/>
      </w:pPr>
    </w:p>
    <w:p w:rsidR="00216397" w:rsidRDefault="00216397" w:rsidP="00216397">
      <w:pPr>
        <w:contextualSpacing/>
        <w:jc w:val="both"/>
      </w:pPr>
      <w:r w:rsidRPr="0032024C">
        <w:t>Τα έσοδα προβλέπεται να ανέλθουν στα ίδια επίπεδα με το 2020.</w:t>
      </w:r>
    </w:p>
    <w:p w:rsidR="00216397" w:rsidRPr="0032024C" w:rsidRDefault="00216397" w:rsidP="00216397">
      <w:pPr>
        <w:contextualSpacing/>
        <w:jc w:val="both"/>
      </w:pPr>
      <w:r w:rsidRPr="0032024C">
        <w:t xml:space="preserve"> </w:t>
      </w:r>
    </w:p>
    <w:p w:rsidR="00216397" w:rsidRPr="0032024C" w:rsidRDefault="00216397" w:rsidP="00216397">
      <w:pPr>
        <w:contextualSpacing/>
        <w:jc w:val="both"/>
      </w:pPr>
      <w:r w:rsidRPr="0032024C">
        <w:t>Ειδικότερα, οι ασφαλιστικές εισφορές προβλέπεται ότι θα παρουσιάσουν σημαντική αύξηση κατά 1.280 εκατ. ευρώ περίπου</w:t>
      </w:r>
      <w:r w:rsidR="0035029C">
        <w:t>,</w:t>
      </w:r>
      <w:r w:rsidRPr="0032024C">
        <w:t xml:space="preserve"> ενόψει της αναμενόμενης επανεκκίνησης της οικονομικής δραστηριότητας και της ενίσχυσης της απασχόλησης, ενώ οι μεταβιβάσεις από τον </w:t>
      </w:r>
      <w:r w:rsidR="0035029C" w:rsidRPr="0032024C">
        <w:t xml:space="preserve">Κρατικό Προϋπολογισμό </w:t>
      </w:r>
      <w:r w:rsidR="0035029C">
        <w:t>προβλέπονται</w:t>
      </w:r>
      <w:r w:rsidRPr="0032024C">
        <w:t xml:space="preserve"> μειωμένες κατά 1.069 εκατ. ευρώ. Η ανωτέρω μεταβολή οφείλεται κατά κύριο λόγο:</w:t>
      </w:r>
    </w:p>
    <w:p w:rsidR="00216397" w:rsidRPr="0032024C" w:rsidRDefault="00216397" w:rsidP="00216397">
      <w:pPr>
        <w:contextualSpacing/>
        <w:jc w:val="both"/>
      </w:pPr>
    </w:p>
    <w:p w:rsidR="00216397" w:rsidRPr="0032024C" w:rsidRDefault="00216397" w:rsidP="00216397">
      <w:pPr>
        <w:pStyle w:val="ListParagraph"/>
        <w:numPr>
          <w:ilvl w:val="0"/>
          <w:numId w:val="12"/>
        </w:numPr>
        <w:spacing w:after="0" w:line="240" w:lineRule="auto"/>
        <w:ind w:left="284" w:hanging="284"/>
        <w:jc w:val="both"/>
        <w:rPr>
          <w:rFonts w:ascii="Times New Roman" w:hAnsi="Times New Roman"/>
          <w:sz w:val="24"/>
          <w:szCs w:val="24"/>
        </w:rPr>
      </w:pPr>
      <w:r w:rsidRPr="0032024C">
        <w:rPr>
          <w:rFonts w:ascii="Times New Roman" w:hAnsi="Times New Roman"/>
          <w:sz w:val="24"/>
          <w:szCs w:val="24"/>
        </w:rPr>
        <w:t xml:space="preserve">στην αύξηση του ύψους των μεταβιβάσεων προς τον ΟΠΕΚΑ για την υλοποίηση δράσεων κοινωνικής πολιτικής μεταξύ των οποίων συγκαταλέγεται το </w:t>
      </w:r>
      <w:r w:rsidRPr="0032024C">
        <w:rPr>
          <w:rFonts w:ascii="Times New Roman" w:hAnsi="Times New Roman"/>
          <w:color w:val="000000"/>
          <w:sz w:val="24"/>
          <w:szCs w:val="24"/>
        </w:rPr>
        <w:t xml:space="preserve">Πρόγραμμα «ΓΕΦΥΡΑ» που αφορά στην επιδότηση της πρώτης κατοικίας για δανειολήπτες που επλήγησαν από την πανδημία </w:t>
      </w:r>
      <w:r w:rsidR="00BE23E9">
        <w:rPr>
          <w:rFonts w:ascii="Times New Roman" w:hAnsi="Times New Roman"/>
          <w:color w:val="000000"/>
          <w:sz w:val="24"/>
          <w:szCs w:val="24"/>
        </w:rPr>
        <w:t>Covid-19</w:t>
      </w:r>
      <w:r w:rsidR="0035029C">
        <w:rPr>
          <w:rFonts w:ascii="Times New Roman" w:hAnsi="Times New Roman"/>
          <w:color w:val="000000"/>
          <w:sz w:val="24"/>
          <w:szCs w:val="24"/>
        </w:rPr>
        <w:t>,</w:t>
      </w:r>
      <w:r w:rsidRPr="0032024C">
        <w:rPr>
          <w:rFonts w:ascii="Times New Roman" w:hAnsi="Times New Roman"/>
          <w:color w:val="000000"/>
          <w:sz w:val="24"/>
          <w:szCs w:val="24"/>
        </w:rPr>
        <w:t xml:space="preserve"> αλλά και η κάλυψη της αυξημένης δαπάνης</w:t>
      </w:r>
      <w:r w:rsidRPr="0032024C">
        <w:rPr>
          <w:rFonts w:ascii="Times New Roman" w:hAnsi="Times New Roman"/>
          <w:sz w:val="24"/>
          <w:szCs w:val="24"/>
        </w:rPr>
        <w:t xml:space="preserve"> τριών βασικών κοινωνικών επιδομάτων (Ελάχιστο Εγγυημένο Εισόδημα, Επίδομα Παιδιού και Επίδομα Στέγασης) για το 2021</w:t>
      </w:r>
      <w:r w:rsidR="0035029C">
        <w:rPr>
          <w:rFonts w:ascii="Times New Roman" w:hAnsi="Times New Roman"/>
          <w:sz w:val="24"/>
          <w:szCs w:val="24"/>
        </w:rPr>
        <w:t>,</w:t>
      </w:r>
      <w:r w:rsidRPr="0032024C">
        <w:rPr>
          <w:rFonts w:ascii="Times New Roman" w:hAnsi="Times New Roman"/>
          <w:sz w:val="24"/>
          <w:szCs w:val="24"/>
        </w:rPr>
        <w:t xml:space="preserve"> ως αποτέλεσμα των οικονομικών επιπτώσεων της υγειονομικής κρίσης λόγω της πανδημίας </w:t>
      </w:r>
      <w:r w:rsidR="00BE23E9">
        <w:rPr>
          <w:rFonts w:ascii="Times New Roman" w:hAnsi="Times New Roman"/>
          <w:sz w:val="24"/>
          <w:szCs w:val="24"/>
        </w:rPr>
        <w:t>Covid-19</w:t>
      </w:r>
      <w:r w:rsidR="0035029C">
        <w:rPr>
          <w:rFonts w:ascii="Times New Roman" w:hAnsi="Times New Roman"/>
          <w:sz w:val="24"/>
          <w:szCs w:val="24"/>
        </w:rPr>
        <w:t>,</w:t>
      </w:r>
      <w:r w:rsidRPr="0032024C">
        <w:rPr>
          <w:rFonts w:ascii="Times New Roman" w:hAnsi="Times New Roman"/>
          <w:sz w:val="24"/>
          <w:szCs w:val="24"/>
        </w:rPr>
        <w:t xml:space="preserve"> </w:t>
      </w:r>
    </w:p>
    <w:p w:rsidR="00216397" w:rsidRPr="0032024C" w:rsidRDefault="00216397" w:rsidP="00216397">
      <w:pPr>
        <w:pStyle w:val="ListParagraph"/>
        <w:numPr>
          <w:ilvl w:val="0"/>
          <w:numId w:val="12"/>
        </w:numPr>
        <w:spacing w:after="0" w:line="240" w:lineRule="auto"/>
        <w:ind w:left="284" w:hanging="284"/>
        <w:jc w:val="both"/>
        <w:rPr>
          <w:rFonts w:ascii="Times New Roman" w:hAnsi="Times New Roman"/>
          <w:sz w:val="24"/>
          <w:szCs w:val="24"/>
        </w:rPr>
      </w:pPr>
      <w:r w:rsidRPr="0032024C">
        <w:rPr>
          <w:rFonts w:ascii="Times New Roman" w:hAnsi="Times New Roman"/>
          <w:sz w:val="24"/>
          <w:szCs w:val="24"/>
        </w:rPr>
        <w:t>στις μειωμένες, σε σχέση με το 2020, μεταβιβάσεις προς τον ΕΟΠΥΥ και τον ΟΑΕΔ</w:t>
      </w:r>
      <w:r w:rsidR="0035029C">
        <w:rPr>
          <w:rFonts w:ascii="Times New Roman" w:hAnsi="Times New Roman"/>
          <w:sz w:val="24"/>
          <w:szCs w:val="24"/>
        </w:rPr>
        <w:t>,</w:t>
      </w:r>
      <w:r w:rsidRPr="0032024C">
        <w:rPr>
          <w:rFonts w:ascii="Times New Roman" w:hAnsi="Times New Roman"/>
          <w:sz w:val="24"/>
          <w:szCs w:val="24"/>
        </w:rPr>
        <w:t xml:space="preserve"> οι οποίες καταβλήθηκαν κυρίως ως αντιστάθμισμα για την απώλεια εσόδων από ασφαλιστικές εισφορές</w:t>
      </w:r>
      <w:r w:rsidR="001628C4">
        <w:rPr>
          <w:rFonts w:ascii="Times New Roman" w:hAnsi="Times New Roman"/>
          <w:sz w:val="24"/>
          <w:szCs w:val="24"/>
        </w:rPr>
        <w:t xml:space="preserve"> και</w:t>
      </w:r>
    </w:p>
    <w:p w:rsidR="00216397" w:rsidRPr="0032024C" w:rsidRDefault="00216397" w:rsidP="00216397">
      <w:pPr>
        <w:pStyle w:val="ListParagraph"/>
        <w:numPr>
          <w:ilvl w:val="0"/>
          <w:numId w:val="12"/>
        </w:numPr>
        <w:spacing w:after="0" w:line="240" w:lineRule="auto"/>
        <w:ind w:left="284" w:hanging="284"/>
        <w:jc w:val="both"/>
        <w:rPr>
          <w:rFonts w:ascii="Times New Roman" w:hAnsi="Times New Roman"/>
          <w:sz w:val="24"/>
          <w:szCs w:val="24"/>
        </w:rPr>
      </w:pPr>
      <w:r w:rsidRPr="0032024C">
        <w:rPr>
          <w:rFonts w:ascii="Times New Roman" w:hAnsi="Times New Roman"/>
          <w:sz w:val="24"/>
          <w:szCs w:val="24"/>
        </w:rPr>
        <w:t xml:space="preserve">στο γεγονός ότι το έτος 2020 </w:t>
      </w:r>
      <w:r w:rsidR="00B4140F">
        <w:rPr>
          <w:rFonts w:ascii="Times New Roman" w:hAnsi="Times New Roman"/>
          <w:sz w:val="24"/>
          <w:szCs w:val="24"/>
        </w:rPr>
        <w:t>συμπεριλαμβάνονται</w:t>
      </w:r>
      <w:r w:rsidRPr="0032024C">
        <w:rPr>
          <w:rFonts w:ascii="Times New Roman" w:hAnsi="Times New Roman"/>
          <w:sz w:val="24"/>
          <w:szCs w:val="24"/>
        </w:rPr>
        <w:t xml:space="preserve"> πιστώσεις για την επιχορήγηση του </w:t>
      </w:r>
      <w:r w:rsidRPr="0032024C">
        <w:rPr>
          <w:rFonts w:ascii="Times New Roman" w:hAnsi="Times New Roman"/>
          <w:sz w:val="24"/>
          <w:szCs w:val="24"/>
          <w:lang w:val="en-US"/>
        </w:rPr>
        <w:t>e</w:t>
      </w:r>
      <w:r w:rsidRPr="0032024C">
        <w:rPr>
          <w:rFonts w:ascii="Times New Roman" w:hAnsi="Times New Roman"/>
          <w:sz w:val="24"/>
          <w:szCs w:val="24"/>
        </w:rPr>
        <w:t>- ΕΦΚΑ, ύψους 1.400 εκατ. ευρώ, για την εφάπαξ καταβολή των αναδρομικών των συντάξεων.</w:t>
      </w:r>
    </w:p>
    <w:p w:rsidR="00216397" w:rsidRDefault="00216397" w:rsidP="00216397">
      <w:pPr>
        <w:contextualSpacing/>
        <w:jc w:val="both"/>
      </w:pPr>
    </w:p>
    <w:p w:rsidR="00216397" w:rsidRPr="0032024C" w:rsidRDefault="0035029C" w:rsidP="00216397">
      <w:pPr>
        <w:contextualSpacing/>
        <w:jc w:val="both"/>
      </w:pPr>
      <w:r>
        <w:t>Οι δαπάνες των ΟΚΑ</w:t>
      </w:r>
      <w:r w:rsidR="00216397" w:rsidRPr="0032024C">
        <w:t xml:space="preserve"> προβλέπεται ότι θα παρουσιάσουν μείωση κατά 1.060 εκατ. ευρώ σε σχέση με το 2020. </w:t>
      </w:r>
    </w:p>
    <w:p w:rsidR="00216397" w:rsidRDefault="00216397" w:rsidP="00216397">
      <w:pPr>
        <w:contextualSpacing/>
        <w:jc w:val="both"/>
      </w:pPr>
    </w:p>
    <w:p w:rsidR="00216397" w:rsidRPr="0032024C" w:rsidRDefault="00216397" w:rsidP="00216397">
      <w:pPr>
        <w:contextualSpacing/>
        <w:jc w:val="both"/>
      </w:pPr>
      <w:r w:rsidRPr="0032024C">
        <w:t>Ειδικότερα, προβλέπεται ότι η δαπάνη για τις κοινωνικές παροχές θα είναι αυξημένη κατά 300 εκατ. ευρώ περίπου</w:t>
      </w:r>
      <w:r w:rsidR="002104C0">
        <w:t>,</w:t>
      </w:r>
      <w:r w:rsidRPr="0032024C">
        <w:t xml:space="preserve"> ενσωματώνοντας</w:t>
      </w:r>
      <w:r w:rsidR="002104C0">
        <w:t>, μεταξύ άλλων,</w:t>
      </w:r>
      <w:r w:rsidRPr="0032024C">
        <w:t xml:space="preserve"> την αύξηση των δράσεων του ΟΠΕΚΑ </w:t>
      </w:r>
      <w:r w:rsidR="000908D0">
        <w:t xml:space="preserve">ύψους 700 εκατ. ευρώ περίπου </w:t>
      </w:r>
      <w:r w:rsidRPr="0032024C">
        <w:t xml:space="preserve">και της συνταξιοδοτικής δαπάνης </w:t>
      </w:r>
      <w:r w:rsidR="000908D0">
        <w:t xml:space="preserve">κατά 500 εκατ. ευρώ, </w:t>
      </w:r>
      <w:r w:rsidRPr="0032024C">
        <w:t>αλλά και τη σημαντική μείωση κατά 800 εκατ. ευρώ των παροχών του ΟΑΕΔ προς τους ανέργους</w:t>
      </w:r>
      <w:r w:rsidR="006957AE">
        <w:t xml:space="preserve"> (που σημείωσε μεγάλη αύξηση στο 2020 λόγω της ανάγκης για αντιμετώπιση των συνεπειών της πανδημίας)</w:t>
      </w:r>
      <w:r w:rsidRPr="0032024C">
        <w:t>.</w:t>
      </w:r>
    </w:p>
    <w:p w:rsidR="00216397" w:rsidRDefault="00216397" w:rsidP="00216397">
      <w:pPr>
        <w:contextualSpacing/>
        <w:jc w:val="both"/>
      </w:pPr>
    </w:p>
    <w:p w:rsidR="00216397" w:rsidRPr="0032024C" w:rsidRDefault="00216397" w:rsidP="00216397">
      <w:pPr>
        <w:contextualSpacing/>
        <w:jc w:val="both"/>
      </w:pPr>
      <w:r w:rsidRPr="0032024C">
        <w:t>Παράλληλα, προβλέπεται μείωση των μεταβιβάσεων προς τρίτους κατά 1.436 εκατ. ευρώ</w:t>
      </w:r>
      <w:r w:rsidR="006957AE">
        <w:t>,</w:t>
      </w:r>
      <w:r w:rsidRPr="0032024C">
        <w:t xml:space="preserve"> γεγονός που οφείλεται στην καταβολή των αναδρομικών των συντάξεων κατά το έτος 2020.</w:t>
      </w:r>
    </w:p>
    <w:p w:rsidR="00CE1DBC" w:rsidRPr="00430C68" w:rsidRDefault="00CE1DBC" w:rsidP="00CE1DBC">
      <w:pPr>
        <w:jc w:val="both"/>
        <w:rPr>
          <w:strike/>
          <w:szCs w:val="22"/>
        </w:rPr>
      </w:pPr>
    </w:p>
    <w:p w:rsidR="008879FA" w:rsidRPr="001165C7" w:rsidRDefault="000908D0" w:rsidP="008879FA">
      <w:pPr>
        <w:contextualSpacing/>
        <w:jc w:val="both"/>
        <w:rPr>
          <w:rFonts w:ascii="Arial Narrow" w:hAnsi="Arial Narrow"/>
          <w:b/>
          <w:bCs/>
          <w:color w:val="000080"/>
          <w:szCs w:val="22"/>
        </w:rPr>
      </w:pPr>
      <w:r>
        <w:rPr>
          <w:rFonts w:ascii="Arial Narrow" w:hAnsi="Arial Narrow"/>
          <w:b/>
          <w:bCs/>
          <w:color w:val="000080"/>
          <w:szCs w:val="22"/>
        </w:rPr>
        <w:t>2.4</w:t>
      </w:r>
      <w:r w:rsidR="008879FA" w:rsidRPr="001165C7">
        <w:rPr>
          <w:rFonts w:ascii="Arial Narrow" w:hAnsi="Arial Narrow"/>
          <w:b/>
          <w:bCs/>
          <w:color w:val="000080"/>
          <w:szCs w:val="22"/>
        </w:rPr>
        <w:tab/>
        <w:t>Επισκόπηση δαπανών</w:t>
      </w:r>
      <w:r w:rsidR="00A06EC7" w:rsidRPr="001165C7">
        <w:rPr>
          <w:rFonts w:ascii="Arial Narrow" w:hAnsi="Arial Narrow"/>
          <w:b/>
          <w:bCs/>
          <w:color w:val="000080"/>
          <w:szCs w:val="22"/>
        </w:rPr>
        <w:t xml:space="preserve"> και εσόδων</w:t>
      </w:r>
    </w:p>
    <w:p w:rsidR="008879FA" w:rsidRPr="00430C68" w:rsidRDefault="008879FA" w:rsidP="008879FA">
      <w:pPr>
        <w:jc w:val="both"/>
        <w:rPr>
          <w:strike/>
        </w:rPr>
      </w:pPr>
    </w:p>
    <w:p w:rsidR="001165C7" w:rsidRPr="001165C7" w:rsidRDefault="001165C7" w:rsidP="001165C7">
      <w:pPr>
        <w:contextualSpacing/>
        <w:jc w:val="both"/>
      </w:pPr>
      <w:r w:rsidRPr="001165C7">
        <w:t xml:space="preserve">Η διεξαγωγή συστηματικών και καθολικών επισκοπήσεων των δαπανών και δραστηριοτήτων της Γενικής Κυβέρνησης αποτελεί κύριο άξονα πολιτικής για την ορθή αξιοποίηση των διαθέσιμων πόρων. </w:t>
      </w:r>
    </w:p>
    <w:p w:rsidR="00F06833" w:rsidRPr="001165C7" w:rsidRDefault="00F06833" w:rsidP="001165C7">
      <w:pPr>
        <w:contextualSpacing/>
        <w:jc w:val="both"/>
      </w:pPr>
    </w:p>
    <w:p w:rsidR="001165C7" w:rsidRPr="001165C7" w:rsidRDefault="001165C7" w:rsidP="001165C7">
      <w:pPr>
        <w:contextualSpacing/>
        <w:jc w:val="both"/>
      </w:pPr>
      <w:r w:rsidRPr="001165C7">
        <w:t>Η προσπάθεια αυτή αφορά τόσο οριζόντιες δράσεις για τη Γενική Κυβέρνηση, όσο και δράσεις επικεντρωμένες σε συγκεκριμένα Υπουργεία και τομείς προτεραιότητας.</w:t>
      </w:r>
      <w:r w:rsidR="003A3328">
        <w:t xml:space="preserve"> </w:t>
      </w:r>
    </w:p>
    <w:p w:rsidR="001165C7" w:rsidRPr="001165C7" w:rsidRDefault="001165C7" w:rsidP="001165C7">
      <w:pPr>
        <w:contextualSpacing/>
        <w:jc w:val="both"/>
      </w:pPr>
    </w:p>
    <w:p w:rsidR="001165C7" w:rsidRPr="001165C7" w:rsidRDefault="001165C7" w:rsidP="001165C7">
      <w:pPr>
        <w:contextualSpacing/>
        <w:jc w:val="both"/>
      </w:pPr>
      <w:r w:rsidRPr="001165C7">
        <w:t xml:space="preserve">Στο πλαίσιο αυτό, το Υπουργείο Οικονομικών συνεργάζεται με τα αρμόδια Υπουργεία για την αξιολόγηση και τον </w:t>
      </w:r>
      <w:proofErr w:type="spellStart"/>
      <w:r w:rsidRPr="001165C7">
        <w:t>εξορθολογισμό</w:t>
      </w:r>
      <w:proofErr w:type="spellEnd"/>
      <w:r w:rsidRPr="001165C7">
        <w:t xml:space="preserve"> των δραστηριοτήτων τους. Οριζόντιες δράσεις που εξετάζονται αφορούν στην ενίσχυση της αξιοποίησης της ακίνητης περιουσίας των φορέων, την καλύτερη διαχείριση του στόλου των κρατικών οχημάτων, τον περιορισμό της τηλεπικοινωνιακής δαπάνης κ.λπ.. Παράλληλα, δίνεται έμφαση στον </w:t>
      </w:r>
      <w:proofErr w:type="spellStart"/>
      <w:r w:rsidRPr="001165C7">
        <w:t>εξορθολογισμό</w:t>
      </w:r>
      <w:proofErr w:type="spellEnd"/>
      <w:r w:rsidRPr="001165C7">
        <w:t xml:space="preserve"> της ενεργειακής δαπάνης και το περιβαλλοντικό αποτύπωμα των δράσεων κάθε φορέα.</w:t>
      </w:r>
    </w:p>
    <w:p w:rsidR="001165C7" w:rsidRPr="001165C7" w:rsidRDefault="001165C7" w:rsidP="001165C7">
      <w:pPr>
        <w:contextualSpacing/>
        <w:jc w:val="both"/>
      </w:pPr>
    </w:p>
    <w:p w:rsidR="00F06833" w:rsidRPr="001165C7" w:rsidRDefault="00F06833" w:rsidP="00F06833">
      <w:pPr>
        <w:contextualSpacing/>
        <w:jc w:val="both"/>
      </w:pPr>
      <w:r>
        <w:t xml:space="preserve">Για το 2020 υλοποιήθηκε από το </w:t>
      </w:r>
      <w:r w:rsidR="00DC35B2">
        <w:t xml:space="preserve">Υπουργείο </w:t>
      </w:r>
      <w:r>
        <w:t xml:space="preserve">Εσωτερικών η δράση που εντάσσεται στην επισκόπηση δαπανών και εσόδων των ΟΤΑ για την ορθή δήλωση των τετραγωνικών </w:t>
      </w:r>
      <w:r w:rsidR="00DC35B2">
        <w:t xml:space="preserve">μέτρων </w:t>
      </w:r>
      <w:r>
        <w:t xml:space="preserve">των οικοδομών, που σημείωσε πολύ μεγάλη επιτυχία (δηλώθηκαν 60 </w:t>
      </w:r>
      <w:r w:rsidR="008F24A5">
        <w:t>εκατ.</w:t>
      </w:r>
      <w:r>
        <w:t xml:space="preserve"> επιπλέον τετραγωνικά </w:t>
      </w:r>
      <w:r w:rsidR="00DC35B2">
        <w:t xml:space="preserve">μέτρα </w:t>
      </w:r>
      <w:r w:rsidR="00DC35B2" w:rsidRPr="00084860">
        <w:t xml:space="preserve">περίπου </w:t>
      </w:r>
      <w:r>
        <w:t xml:space="preserve">από 2,6 </w:t>
      </w:r>
      <w:r w:rsidR="008F24A5">
        <w:t>εκατ.</w:t>
      </w:r>
      <w:r>
        <w:t xml:space="preserve"> πολίτες) και θα αυξήσει σημαντικ</w:t>
      </w:r>
      <w:r w:rsidR="006144CE">
        <w:t xml:space="preserve">ά τα έσοδα των ΟΤΑ το 2021 και </w:t>
      </w:r>
      <w:r>
        <w:t>τα επόμενα χρόνια.</w:t>
      </w:r>
    </w:p>
    <w:p w:rsidR="00F06833" w:rsidRDefault="00F06833" w:rsidP="001165C7">
      <w:pPr>
        <w:contextualSpacing/>
        <w:jc w:val="both"/>
      </w:pPr>
    </w:p>
    <w:p w:rsidR="001165C7" w:rsidRPr="001165C7" w:rsidRDefault="001165C7" w:rsidP="001165C7">
      <w:pPr>
        <w:contextualSpacing/>
        <w:jc w:val="both"/>
      </w:pPr>
      <w:r w:rsidRPr="001165C7">
        <w:t>Για την περίοδο που έπεται, η πρόκληση έγκειται στην εντατικοποίηση της διαδικασίας αυτής σε όρους κοινωνικής ανταποδοτικότητας και οικονομικής αποτελεσματικότητας. Στόχος είναι να απελευθερωθούν πόροι που, στην ιδιαίτερα κρίσιμη συγκυρία που βιώνει η κοινωνία και η οικονομία, θα μπορέσουν να κατευθυνθούν άμεσα σε περιοχές που χρήζουν υποστήριξης.</w:t>
      </w:r>
    </w:p>
    <w:p w:rsidR="001165C7" w:rsidRPr="001165C7" w:rsidRDefault="001165C7" w:rsidP="001165C7">
      <w:pPr>
        <w:contextualSpacing/>
        <w:jc w:val="both"/>
      </w:pPr>
    </w:p>
    <w:p w:rsidR="001165C7" w:rsidRPr="001165C7" w:rsidRDefault="001165C7" w:rsidP="001165C7">
      <w:pPr>
        <w:contextualSpacing/>
        <w:jc w:val="both"/>
      </w:pPr>
      <w:r w:rsidRPr="001165C7">
        <w:t xml:space="preserve">Κύρια προτεραιότητα σε αυτό το πλαίσιο, είναι η εξέταση των αδυναμιών του συστήματος </w:t>
      </w:r>
      <w:proofErr w:type="spellStart"/>
      <w:r w:rsidRPr="001165C7">
        <w:t>προνοιακής</w:t>
      </w:r>
      <w:proofErr w:type="spellEnd"/>
      <w:r w:rsidRPr="001165C7">
        <w:t xml:space="preserve"> πολιτικής της χώρας και ο επανασχεδιασμός του, ώστε να αξιοποιηθούν πλήρως οι δυνατότητές του και να μπορεί να υποστηρίζει με δικαιοσύνη όσους πραγματικά το έχουν ανάγκη. Βασικές δράσεις προς αυτή την κατεύθυνση αποτελούν η επανεξέταση και κωδικοποίηση της σχετικής νομοθεσίας, η εντατικοποίηση των διασταυρώσεων μέσα από </w:t>
      </w:r>
      <w:proofErr w:type="spellStart"/>
      <w:r w:rsidRPr="001165C7">
        <w:t>διαλειτουργούσες</w:t>
      </w:r>
      <w:proofErr w:type="spellEnd"/>
      <w:r w:rsidRPr="001165C7">
        <w:t xml:space="preserve"> βάσεις δεδομένων και η ισχυροποίηση του ελεγκτικού μηχανισμού. Οι μεταρρυθμίσεις αυτές αναμένεται να συμβάλλουν στη θωράκιση του συστήματος με δικλείδες και προϋποθέσεις που δεν θα επιτρέπουν την εκμετάλλευσή του εις βάρος της κοινωνικής αλληλεγγύης και ανταποδοτικότητας.</w:t>
      </w:r>
    </w:p>
    <w:p w:rsidR="001165C7" w:rsidRPr="001165C7" w:rsidRDefault="001165C7" w:rsidP="001165C7">
      <w:pPr>
        <w:contextualSpacing/>
        <w:jc w:val="both"/>
      </w:pPr>
    </w:p>
    <w:p w:rsidR="001165C7" w:rsidRPr="001165C7" w:rsidRDefault="001165C7" w:rsidP="001165C7">
      <w:pPr>
        <w:contextualSpacing/>
        <w:jc w:val="both"/>
      </w:pPr>
      <w:r w:rsidRPr="001165C7">
        <w:t>Στο επίκεντρο βρίσκεται και η υποστήριξη της Τοπικής Αυτοδιοίκησης. Ειδικά στον πυλώνα των ΟΤΑ, έμφαση δίνεται στην απλούστευση των διαδικασιών είσπραξης κύριων κατηγο</w:t>
      </w:r>
      <w:r w:rsidRPr="001165C7">
        <w:lastRenderedPageBreak/>
        <w:t>ριών εσόδων τους, ώστε να απελευθερωθούν ανθρώπινοι πόροι και να ενισχυθεί η καθημερινή εξυπηρέτηση των πολιτών.</w:t>
      </w:r>
    </w:p>
    <w:p w:rsidR="001165C7" w:rsidRPr="001165C7" w:rsidRDefault="001165C7" w:rsidP="001165C7">
      <w:pPr>
        <w:contextualSpacing/>
        <w:jc w:val="both"/>
      </w:pPr>
    </w:p>
    <w:p w:rsidR="001165C7" w:rsidRPr="001165C7" w:rsidRDefault="001165C7" w:rsidP="001165C7">
      <w:pPr>
        <w:contextualSpacing/>
        <w:jc w:val="both"/>
      </w:pPr>
      <w:r w:rsidRPr="001165C7">
        <w:t xml:space="preserve">Οι επισκοπήσεις αυτές θα υποστηρίζονται από ένα σύστημα κύριων δεικτών επίδοσης </w:t>
      </w:r>
      <w:r w:rsidR="00F06833">
        <w:t>(</w:t>
      </w:r>
      <w:r w:rsidR="00F06833">
        <w:rPr>
          <w:lang w:val="en-US"/>
        </w:rPr>
        <w:t>KPIs</w:t>
      </w:r>
      <w:r w:rsidR="00F06833" w:rsidRPr="00472C4E">
        <w:t xml:space="preserve">) </w:t>
      </w:r>
      <w:r w:rsidRPr="001165C7">
        <w:t>για τη μέτρηση και αξιολόγηση της επίτευξης των επιδιωκόμενων αποτελεσμάτων.</w:t>
      </w:r>
    </w:p>
    <w:p w:rsidR="00A3295A" w:rsidRPr="00430C68" w:rsidRDefault="00A3295A" w:rsidP="008879FA">
      <w:pPr>
        <w:contextualSpacing/>
        <w:jc w:val="both"/>
        <w:rPr>
          <w:rFonts w:ascii="Arial Narrow" w:hAnsi="Arial Narrow"/>
          <w:b/>
          <w:bCs/>
          <w:strike/>
          <w:color w:val="000080"/>
          <w:szCs w:val="22"/>
        </w:rPr>
      </w:pPr>
    </w:p>
    <w:p w:rsidR="008879FA" w:rsidRPr="001165C7" w:rsidRDefault="000908D0" w:rsidP="008879FA">
      <w:pPr>
        <w:contextualSpacing/>
        <w:jc w:val="both"/>
        <w:rPr>
          <w:rFonts w:ascii="Arial Narrow" w:hAnsi="Arial Narrow"/>
          <w:b/>
          <w:bCs/>
          <w:color w:val="000080"/>
          <w:szCs w:val="22"/>
        </w:rPr>
      </w:pPr>
      <w:r>
        <w:rPr>
          <w:rFonts w:ascii="Arial Narrow" w:hAnsi="Arial Narrow"/>
          <w:b/>
          <w:bCs/>
          <w:color w:val="000080"/>
          <w:szCs w:val="22"/>
        </w:rPr>
        <w:t>2.5</w:t>
      </w:r>
      <w:r w:rsidR="008879FA" w:rsidRPr="001165C7">
        <w:rPr>
          <w:rFonts w:ascii="Arial Narrow" w:hAnsi="Arial Narrow"/>
          <w:b/>
          <w:bCs/>
          <w:color w:val="000080"/>
          <w:szCs w:val="22"/>
        </w:rPr>
        <w:tab/>
        <w:t>Προϋπολογισμός επιδόσεων</w:t>
      </w:r>
    </w:p>
    <w:p w:rsidR="008879FA" w:rsidRPr="00430C68" w:rsidRDefault="008879FA" w:rsidP="008879FA">
      <w:pPr>
        <w:jc w:val="both"/>
        <w:rPr>
          <w:strike/>
        </w:rPr>
      </w:pPr>
    </w:p>
    <w:p w:rsidR="001165C7" w:rsidRPr="001165C7" w:rsidRDefault="001165C7" w:rsidP="001165C7">
      <w:pPr>
        <w:jc w:val="both"/>
      </w:pPr>
      <w:r w:rsidRPr="001165C7">
        <w:t xml:space="preserve">Ο πιλοτικός σχεδιασμός </w:t>
      </w:r>
      <w:r w:rsidR="000908D0" w:rsidRPr="001165C7">
        <w:t xml:space="preserve">Προϋπολογισμού Επιδόσεων </w:t>
      </w:r>
      <w:r w:rsidRPr="001165C7">
        <w:t xml:space="preserve">επεκτάθηκε περαιτέρω κατά το τρέχον έτος. Στα έξι πιλοτικά υπουργεία του προηγούμενου έτους, προστέθηκαν επτά ακόμη και όλα εργάστηκαν από κοινού σε διυπουργικές ομάδες εργασίας με το Γενικό Λογιστήριο του Κράτους για την ανάπτυξη της νέας ταξινόμησης του προϋπολογισμού τους βάσει Προγραμμάτων, τόσο του τακτικού όσο και του </w:t>
      </w:r>
      <w:r w:rsidR="000908D0" w:rsidRPr="001165C7">
        <w:t>Προϋπολογισμού Δημοσίων Επενδύσεων</w:t>
      </w:r>
      <w:r w:rsidRPr="001165C7">
        <w:t>. Πρόκειται για τα Υπουργεία: Εσωτερικών, Υγείας, Δικαιοσύνης, Παιδείας &amp; Θρησκευμάτων, Πολιτισμού &amp; Αθλητισμού, Οικονομικών, Αγροτικής Ανάπτυξης &amp; Τροφίμων, Περιβάλλοντος &amp; Ενέργειας, Εργασίας &amp; Κοινωνικών Υποθέσεων, Ανάπτυξης &amp; Επενδύσεων, Υποδομών &amp; Μεταφορών, Προστασίας του Πολίτη και Μετανάστευσης &amp; Ασύλου.</w:t>
      </w:r>
    </w:p>
    <w:p w:rsidR="001165C7" w:rsidRDefault="001165C7" w:rsidP="001165C7">
      <w:pPr>
        <w:jc w:val="both"/>
      </w:pPr>
    </w:p>
    <w:p w:rsidR="001165C7" w:rsidRPr="001165C7" w:rsidRDefault="001165C7" w:rsidP="001165C7">
      <w:pPr>
        <w:jc w:val="both"/>
      </w:pPr>
      <w:r w:rsidRPr="001165C7">
        <w:t>Πέραν της νέας ταξινόμησης των δαπανών τους, τα πιλοτικά Υπουργεία καλούνται σταδιακά να ενσωματώνουν και να παρακολουθούν πρόσθετα στοιχεία στο πλαίσιο του «Ετήσιου Σχεδίου των Προγραμμάτων» τους:</w:t>
      </w:r>
    </w:p>
    <w:p w:rsidR="001165C7" w:rsidRDefault="001165C7" w:rsidP="001165C7">
      <w:pPr>
        <w:jc w:val="both"/>
      </w:pPr>
    </w:p>
    <w:p w:rsidR="001165C7" w:rsidRPr="001165C7" w:rsidRDefault="001165C7" w:rsidP="001165C7">
      <w:pPr>
        <w:tabs>
          <w:tab w:val="left" w:pos="284"/>
        </w:tabs>
        <w:ind w:left="284" w:hanging="284"/>
        <w:jc w:val="both"/>
      </w:pPr>
      <w:r w:rsidRPr="001165C7">
        <w:t>-</w:t>
      </w:r>
      <w:r>
        <w:tab/>
      </w:r>
      <w:r w:rsidRPr="001165C7">
        <w:t>το σύνολο των πόρων που διατίθενται ανά Πρόγραμμα από ίδια έσοδα φορέων γενικής κυβέρνησης εποπτείας τους κατά το μέρος που αυτοί δραστηριοποιούνται για τους σκοπούς του Προγράμματος,</w:t>
      </w:r>
    </w:p>
    <w:p w:rsidR="001165C7" w:rsidRDefault="001165C7" w:rsidP="001165C7">
      <w:pPr>
        <w:tabs>
          <w:tab w:val="left" w:pos="284"/>
        </w:tabs>
        <w:ind w:left="284" w:hanging="284"/>
        <w:jc w:val="both"/>
      </w:pPr>
    </w:p>
    <w:p w:rsidR="001165C7" w:rsidRPr="001165C7" w:rsidRDefault="001165C7" w:rsidP="001165C7">
      <w:pPr>
        <w:tabs>
          <w:tab w:val="left" w:pos="284"/>
        </w:tabs>
        <w:ind w:left="284" w:hanging="284"/>
        <w:jc w:val="both"/>
      </w:pPr>
      <w:r w:rsidRPr="001165C7">
        <w:t>-</w:t>
      </w:r>
      <w:r>
        <w:tab/>
      </w:r>
      <w:r w:rsidRPr="001165C7">
        <w:t>το σύνολο των ανθρώπινων πόρων που διατίθενται σε κάθε Πρόγραμμα, τόσο από το ίδιο το Υπουργείο, όσο και από εποπτευόμενους φορείς, σύμφωνα με τα ανωτέρω,</w:t>
      </w:r>
    </w:p>
    <w:p w:rsidR="001165C7" w:rsidRDefault="001165C7" w:rsidP="001165C7">
      <w:pPr>
        <w:tabs>
          <w:tab w:val="left" w:pos="284"/>
        </w:tabs>
        <w:ind w:left="284" w:hanging="284"/>
        <w:jc w:val="both"/>
      </w:pPr>
    </w:p>
    <w:p w:rsidR="001165C7" w:rsidRPr="001165C7" w:rsidRDefault="001165C7" w:rsidP="001165C7">
      <w:pPr>
        <w:tabs>
          <w:tab w:val="left" w:pos="284"/>
        </w:tabs>
        <w:ind w:left="284" w:hanging="284"/>
        <w:jc w:val="both"/>
      </w:pPr>
      <w:r w:rsidRPr="001165C7">
        <w:t>-</w:t>
      </w:r>
      <w:r>
        <w:tab/>
      </w:r>
      <w:r w:rsidRPr="001165C7">
        <w:t xml:space="preserve">περιγραφή της στρατηγικής και της </w:t>
      </w:r>
      <w:proofErr w:type="spellStart"/>
      <w:r w:rsidRPr="001165C7">
        <w:t>στοχοθεσίας</w:t>
      </w:r>
      <w:proofErr w:type="spellEnd"/>
      <w:r w:rsidRPr="001165C7">
        <w:t xml:space="preserve"> του Προγράμματος, καθώς και δείκτες για την παρακολούθηση της επίτευξης κύριων στόχων αυτού.</w:t>
      </w:r>
    </w:p>
    <w:p w:rsidR="001165C7" w:rsidRDefault="001165C7" w:rsidP="001165C7">
      <w:pPr>
        <w:jc w:val="both"/>
      </w:pPr>
    </w:p>
    <w:p w:rsidR="001165C7" w:rsidRPr="001165C7" w:rsidRDefault="001165C7" w:rsidP="001165C7">
      <w:pPr>
        <w:jc w:val="both"/>
      </w:pPr>
      <w:r w:rsidRPr="001165C7">
        <w:t xml:space="preserve">Στόχος είναι κατά το 2021, ο πιλοτικός σχεδιασμός του </w:t>
      </w:r>
      <w:r w:rsidR="000908D0" w:rsidRPr="001165C7">
        <w:t xml:space="preserve">Προϋπολογισμού Επιδόσεων </w:t>
      </w:r>
      <w:r w:rsidRPr="001165C7">
        <w:t>να επεκταθεί σε όλα τα Υπουργεία.</w:t>
      </w:r>
    </w:p>
    <w:p w:rsidR="0010708D" w:rsidRDefault="0010708D" w:rsidP="003377C3">
      <w:pPr>
        <w:rPr>
          <w:strike/>
          <w:szCs w:val="22"/>
        </w:rPr>
      </w:pPr>
    </w:p>
    <w:p w:rsidR="000A462C" w:rsidRPr="000A462C" w:rsidRDefault="000908D0" w:rsidP="000A462C">
      <w:pPr>
        <w:contextualSpacing/>
        <w:jc w:val="both"/>
        <w:rPr>
          <w:rFonts w:ascii="Arial Narrow" w:hAnsi="Arial Narrow"/>
          <w:b/>
          <w:bCs/>
          <w:color w:val="000080"/>
          <w:szCs w:val="22"/>
        </w:rPr>
      </w:pPr>
      <w:r>
        <w:rPr>
          <w:rFonts w:ascii="Arial Narrow" w:hAnsi="Arial Narrow"/>
          <w:b/>
          <w:bCs/>
          <w:color w:val="000080"/>
          <w:szCs w:val="22"/>
        </w:rPr>
        <w:t>2.6</w:t>
      </w:r>
      <w:r w:rsidR="000A462C" w:rsidRPr="001165C7">
        <w:rPr>
          <w:rFonts w:ascii="Arial Narrow" w:hAnsi="Arial Narrow"/>
          <w:b/>
          <w:bCs/>
          <w:color w:val="000080"/>
          <w:szCs w:val="22"/>
        </w:rPr>
        <w:tab/>
        <w:t>Ε</w:t>
      </w:r>
      <w:r w:rsidR="000A462C">
        <w:rPr>
          <w:rFonts w:ascii="Arial Narrow" w:hAnsi="Arial Narrow"/>
          <w:b/>
          <w:bCs/>
          <w:color w:val="000080"/>
          <w:szCs w:val="22"/>
        </w:rPr>
        <w:t xml:space="preserve">νσωμάτωση στον </w:t>
      </w:r>
      <w:r>
        <w:rPr>
          <w:rFonts w:ascii="Arial Narrow" w:hAnsi="Arial Narrow"/>
          <w:b/>
          <w:bCs/>
          <w:color w:val="000080"/>
          <w:szCs w:val="22"/>
        </w:rPr>
        <w:t xml:space="preserve">Προϋπολογισμό </w:t>
      </w:r>
      <w:r w:rsidR="000A462C">
        <w:rPr>
          <w:rFonts w:ascii="Arial Narrow" w:hAnsi="Arial Narrow"/>
          <w:b/>
          <w:bCs/>
          <w:color w:val="000080"/>
          <w:szCs w:val="22"/>
        </w:rPr>
        <w:t xml:space="preserve">της περιβαλλοντικής διάστασης – </w:t>
      </w:r>
      <w:r w:rsidR="000A462C">
        <w:rPr>
          <w:rFonts w:ascii="Arial Narrow" w:hAnsi="Arial Narrow"/>
          <w:b/>
          <w:bCs/>
          <w:color w:val="000080"/>
          <w:szCs w:val="22"/>
          <w:lang w:val="en-US"/>
        </w:rPr>
        <w:t>Green</w:t>
      </w:r>
      <w:r w:rsidR="000A462C" w:rsidRPr="000A462C">
        <w:rPr>
          <w:rFonts w:ascii="Arial Narrow" w:hAnsi="Arial Narrow"/>
          <w:b/>
          <w:bCs/>
          <w:color w:val="000080"/>
          <w:szCs w:val="22"/>
        </w:rPr>
        <w:t xml:space="preserve"> </w:t>
      </w:r>
      <w:r w:rsidR="000A462C">
        <w:rPr>
          <w:rFonts w:ascii="Arial Narrow" w:hAnsi="Arial Narrow"/>
          <w:b/>
          <w:bCs/>
          <w:color w:val="000080"/>
          <w:szCs w:val="22"/>
          <w:lang w:val="en-US"/>
        </w:rPr>
        <w:t>Budgeting</w:t>
      </w:r>
    </w:p>
    <w:p w:rsidR="000A462C" w:rsidRPr="00430C68" w:rsidRDefault="000A462C" w:rsidP="000A462C">
      <w:pPr>
        <w:jc w:val="both"/>
        <w:rPr>
          <w:strike/>
        </w:rPr>
      </w:pPr>
    </w:p>
    <w:p w:rsidR="008959D2" w:rsidRPr="008959D2" w:rsidRDefault="008959D2" w:rsidP="008959D2">
      <w:pPr>
        <w:jc w:val="both"/>
      </w:pPr>
      <w:r w:rsidRPr="008959D2">
        <w:t>Η χρήση των εργαλείων του προϋπολογισμού και η χάραξη της δημοσιονομικής πολιτικής με τρόπο που να επιτυγχάνονται οι στόχοι της προστασίας του περιβάλλοντος και της αντιμετώπισης της κλιματικής αλλαγής αποτελούν κύρια προτεραιότητα για τη χώρα μας, σύμφωνα και με αντίστοιχες τάσεις τόσο στην Ευρωπαϊκή Ένωση όσο και στον ΟΟΣΑ.</w:t>
      </w:r>
    </w:p>
    <w:p w:rsidR="008959D2" w:rsidRDefault="008959D2" w:rsidP="008959D2">
      <w:pPr>
        <w:jc w:val="both"/>
      </w:pPr>
    </w:p>
    <w:p w:rsidR="008959D2" w:rsidRPr="008959D2" w:rsidRDefault="008959D2" w:rsidP="008959D2">
      <w:pPr>
        <w:jc w:val="both"/>
      </w:pPr>
      <w:r w:rsidRPr="008959D2">
        <w:t>Το Υπουργείο Οικονομικών τον Φεβρουάριο του 2020 προσχώρησε στη «Συνεργασία του Παρισιού για την Περιβαλλοντική Διάσταση στον Προϋπολογισμό» (</w:t>
      </w:r>
      <w:r w:rsidRPr="008959D2">
        <w:rPr>
          <w:lang w:val="en-US"/>
        </w:rPr>
        <w:t>Paris</w:t>
      </w:r>
      <w:r w:rsidRPr="008959D2">
        <w:t xml:space="preserve"> </w:t>
      </w:r>
      <w:r w:rsidRPr="008959D2">
        <w:rPr>
          <w:lang w:val="en-US"/>
        </w:rPr>
        <w:t>Collaborative</w:t>
      </w:r>
      <w:r w:rsidRPr="008959D2">
        <w:t xml:space="preserve"> </w:t>
      </w:r>
      <w:r w:rsidRPr="008959D2">
        <w:rPr>
          <w:lang w:val="en-US"/>
        </w:rPr>
        <w:t>on</w:t>
      </w:r>
      <w:r w:rsidRPr="008959D2">
        <w:t xml:space="preserve"> </w:t>
      </w:r>
      <w:r w:rsidRPr="008959D2">
        <w:rPr>
          <w:lang w:val="en-US"/>
        </w:rPr>
        <w:t>Green</w:t>
      </w:r>
      <w:r w:rsidRPr="008959D2">
        <w:t xml:space="preserve"> </w:t>
      </w:r>
      <w:r w:rsidRPr="008959D2">
        <w:rPr>
          <w:lang w:val="en-US"/>
        </w:rPr>
        <w:t>Budgeting</w:t>
      </w:r>
      <w:r w:rsidRPr="008959D2">
        <w:t>), που α</w:t>
      </w:r>
      <w:r w:rsidR="008C7D96">
        <w:t>ποτελεί ένα δίκτυο συνεργασίας κ</w:t>
      </w:r>
      <w:r w:rsidRPr="008959D2">
        <w:t xml:space="preserve">ρατών με στόχο ακριβώς την εναρμόνιση των δημοσιονομικών πολιτικών και αποφάσεων με την επίτευξη των στόχων προστασίας του περιβάλλοντος. </w:t>
      </w:r>
    </w:p>
    <w:p w:rsidR="008959D2" w:rsidRDefault="008959D2" w:rsidP="008959D2">
      <w:pPr>
        <w:jc w:val="both"/>
      </w:pPr>
    </w:p>
    <w:p w:rsidR="008959D2" w:rsidRPr="008959D2" w:rsidRDefault="008959D2" w:rsidP="008959D2">
      <w:pPr>
        <w:jc w:val="both"/>
      </w:pPr>
      <w:r w:rsidRPr="008959D2">
        <w:t xml:space="preserve">Σε αυτό το πλαίσιο, η Γενική Γραμματεία Δημοσιονομικής Πολιτικής εργάζεται για την ενσωμάτωση αυτής της διάστασης στο πλαίσιο του </w:t>
      </w:r>
      <w:r w:rsidR="000908D0" w:rsidRPr="008959D2">
        <w:t>Προϋπολογισμού Επιδόσεων</w:t>
      </w:r>
      <w:r w:rsidRPr="008959D2">
        <w:t xml:space="preserve">. Ειδικότερα, η </w:t>
      </w:r>
      <w:r w:rsidRPr="008959D2">
        <w:lastRenderedPageBreak/>
        <w:t>Γενική Διεύθυνση Δημοσιονομικής Πολιτικής &amp; Προϋπολογισμού/ Διεύθυνση Αξιολόγησης Δράσεων Γενικής Κυβέρνησης συνεργάζεται με τον ΟΟΣΑ για την ανάπτυξη και καταγραφή της απαραίτητης μεθοδολογίας και των κατάλληλων εργαλείων, ώστε, στα στοιχεία αξιολόγησης των Προγραμμάτων των Υπουργείων, να περιλαμβάνεται και η αποτίμηση του περιβαλλοντικού αποτυπώματος των χρηματοδοτούμενων πολιτικών.</w:t>
      </w:r>
    </w:p>
    <w:p w:rsidR="008959D2" w:rsidRDefault="008959D2" w:rsidP="008959D2">
      <w:pPr>
        <w:jc w:val="both"/>
      </w:pPr>
    </w:p>
    <w:p w:rsidR="008959D2" w:rsidRPr="008959D2" w:rsidRDefault="008959D2" w:rsidP="008959D2">
      <w:pPr>
        <w:jc w:val="both"/>
      </w:pPr>
      <w:r w:rsidRPr="008959D2">
        <w:t xml:space="preserve">Η σχετική προσπάθεια ξεκίνησε ήδη με </w:t>
      </w:r>
      <w:proofErr w:type="spellStart"/>
      <w:r w:rsidRPr="008959D2">
        <w:t>στοχευμένα</w:t>
      </w:r>
      <w:proofErr w:type="spellEnd"/>
      <w:r w:rsidRPr="008959D2">
        <w:t xml:space="preserve"> Υπουργεία στο πλαίσιο του πιλοτικού σχεδιασμού προϋπολογισμού επιδόσεων κατά το τρέχον έτος και αναμένεται να ενισχυθεί περαιτέρω κατά το επόμενο. </w:t>
      </w:r>
    </w:p>
    <w:p w:rsidR="00F37DDD" w:rsidRDefault="00F37DDD">
      <w:pPr>
        <w:rPr>
          <w:strike/>
          <w:szCs w:val="22"/>
        </w:rPr>
      </w:pPr>
    </w:p>
    <w:p w:rsidR="00CD2D8A" w:rsidRPr="00430C68" w:rsidRDefault="00CD2D8A" w:rsidP="00CD2D8A">
      <w:pPr>
        <w:rPr>
          <w:strike/>
          <w:szCs w:val="22"/>
        </w:rPr>
      </w:pPr>
    </w:p>
    <w:p w:rsidR="00CD2D8A" w:rsidRPr="0009435E" w:rsidRDefault="00CD2D8A" w:rsidP="00CD2D8A">
      <w:pPr>
        <w:shd w:val="clear" w:color="auto" w:fill="BFBFBF"/>
        <w:spacing w:line="228" w:lineRule="auto"/>
        <w:contextualSpacing/>
        <w:jc w:val="both"/>
        <w:rPr>
          <w:rFonts w:ascii="Arial Narrow" w:hAnsi="Arial Narrow"/>
          <w:b/>
          <w:sz w:val="26"/>
        </w:rPr>
      </w:pPr>
      <w:r w:rsidRPr="0009435E">
        <w:rPr>
          <w:rFonts w:ascii="Arial Narrow" w:hAnsi="Arial Narrow"/>
          <w:b/>
          <w:sz w:val="26"/>
        </w:rPr>
        <w:t>3.</w:t>
      </w:r>
      <w:r w:rsidRPr="0009435E">
        <w:rPr>
          <w:rFonts w:ascii="Arial Narrow" w:hAnsi="Arial Narrow"/>
          <w:b/>
          <w:sz w:val="26"/>
        </w:rPr>
        <w:tab/>
        <w:t>Δημοσιονομικές παρεμβάσεις 2020</w:t>
      </w:r>
      <w:r>
        <w:rPr>
          <w:rFonts w:ascii="Arial Narrow" w:hAnsi="Arial Narrow"/>
          <w:b/>
          <w:sz w:val="26"/>
        </w:rPr>
        <w:t xml:space="preserve"> και 2021</w:t>
      </w:r>
    </w:p>
    <w:p w:rsidR="00CD2D8A" w:rsidRPr="0009435E" w:rsidRDefault="00CD2D8A" w:rsidP="00CD2D8A">
      <w:pPr>
        <w:jc w:val="both"/>
        <w:rPr>
          <w:szCs w:val="22"/>
        </w:rPr>
      </w:pPr>
    </w:p>
    <w:p w:rsidR="00CD2D8A" w:rsidRPr="00640E01" w:rsidRDefault="00CD2D8A" w:rsidP="00CD2D8A">
      <w:pPr>
        <w:jc w:val="both"/>
      </w:pPr>
      <w:r>
        <w:t xml:space="preserve">Η Ελληνική πολιτεία κλήθηκε να αντιμετωπίσει εντός του 2020, σε όρους δημοσιονομικής πολιτικής, μία από τις μεγαλύτερες προκλήσεις στη σύγχρονη ιστορία του τόπου. Η πανδημία του </w:t>
      </w:r>
      <w:proofErr w:type="spellStart"/>
      <w:r>
        <w:rPr>
          <w:lang w:val="en-US"/>
        </w:rPr>
        <w:t>Covid</w:t>
      </w:r>
      <w:proofErr w:type="spellEnd"/>
      <w:r w:rsidRPr="00640E01">
        <w:t xml:space="preserve">-19 </w:t>
      </w:r>
      <w:r>
        <w:t>επιφέρει σε παγκόσμιο επίπεδο, αλλά και στη χώρα μας, δυσμενείς οικονομικές συνέπειες οι οποίες ξεπερνούν σε ένταση και εύρος τις οικονομικές συνέπειες οποιουδήποτε άλλου γεγονότος μετά</w:t>
      </w:r>
      <w:r w:rsidR="009A5E37">
        <w:t xml:space="preserve"> τον Δ</w:t>
      </w:r>
      <w:r w:rsidR="00076103">
        <w:t xml:space="preserve">εύτερο </w:t>
      </w:r>
      <w:r w:rsidR="009A5E37">
        <w:t>Παγκόσμιο Π</w:t>
      </w:r>
      <w:r w:rsidR="00076103">
        <w:t xml:space="preserve">όλεμο. Αν </w:t>
      </w:r>
      <w:r>
        <w:t>και η αντιμετώπιση των οικονομικών συνεπειών της πανδημίας υπήρξε η μεγαλύτερη πρόκληση για το τρέχον έτος, η οικονομική κα</w:t>
      </w:r>
      <w:r w:rsidR="00076103">
        <w:t>ι δημοσιονομική διαχείριση των ε</w:t>
      </w:r>
      <w:r>
        <w:t>θνικών θεμάτων, μέσω της ενίσχυσης της Εθνικής Άμυνας και των δαπανών για τη διαχείριση των μεταναστευτικών ροών, οδήγησαν σε πρόσθετες έκτακτες παρεμβάσεις</w:t>
      </w:r>
      <w:r w:rsidR="00076103">
        <w:t>,</w:t>
      </w:r>
      <w:r>
        <w:t xml:space="preserve"> οι οποίες επιβαρύνουν το δημοσιονομικό αποτέλεσμα του τρέχοντος και </w:t>
      </w:r>
      <w:r w:rsidR="00076103">
        <w:t>των επόμενων</w:t>
      </w:r>
      <w:r>
        <w:t xml:space="preserve"> ετών. Επιπλέον, εντός του 2020 παρουσιάζονται αυξημένες δαπάνες για αποκατάσταση των ζημιών από φυσικές καταστροφές (αποζημιώσεις και έργα υποδομών για πλημ</w:t>
      </w:r>
      <w:r w:rsidR="00D73C35">
        <w:t>μύρες στη</w:t>
      </w:r>
      <w:r>
        <w:t>ν</w:t>
      </w:r>
      <w:r w:rsidRPr="004D388D">
        <w:t xml:space="preserve"> </w:t>
      </w:r>
      <w:r w:rsidR="00D73C35" w:rsidRPr="004D388D">
        <w:t xml:space="preserve">Περιφερειακή Ενότητα </w:t>
      </w:r>
      <w:r w:rsidRPr="004D388D">
        <w:t>Ευβοίας</w:t>
      </w:r>
      <w:r>
        <w:t xml:space="preserve"> και σε πολλές περιοχές της χώρας από τον Μεσογειακό Κυκλώνα </w:t>
      </w:r>
      <w:r w:rsidR="00D73C35">
        <w:t>«</w:t>
      </w:r>
      <w:r>
        <w:t>Ιανό</w:t>
      </w:r>
      <w:r w:rsidR="00D73C35">
        <w:t>»). Παράλληλα,</w:t>
      </w:r>
      <w:r>
        <w:t xml:space="preserve"> εντός του 2020 διατίθενται και τα απαραίτητα κονδύλια για την καταβολή αναδρομικών ποσών στους συνταξιούχους του δημοσίου και του ιδιωτικού τομέα.</w:t>
      </w:r>
    </w:p>
    <w:p w:rsidR="00CD2D8A" w:rsidRDefault="00CD2D8A" w:rsidP="00CD2D8A">
      <w:pPr>
        <w:jc w:val="both"/>
      </w:pPr>
    </w:p>
    <w:p w:rsidR="00CD2D8A" w:rsidRPr="00D73C35" w:rsidRDefault="00CD2D8A" w:rsidP="00CD2D8A">
      <w:pPr>
        <w:jc w:val="both"/>
        <w:rPr>
          <w:rFonts w:ascii="Arial Narrow" w:hAnsi="Arial Narrow"/>
          <w:b/>
          <w:bCs/>
          <w:color w:val="000080"/>
          <w:szCs w:val="22"/>
        </w:rPr>
      </w:pPr>
      <w:r w:rsidRPr="00D73C35">
        <w:rPr>
          <w:rFonts w:ascii="Arial Narrow" w:hAnsi="Arial Narrow"/>
          <w:b/>
          <w:bCs/>
          <w:color w:val="000080"/>
          <w:szCs w:val="22"/>
        </w:rPr>
        <w:t>Δημοσιονομικές παρεμβάσεις αντιμετώπισης των οικονομικών συνεπειών της πανδημίας</w:t>
      </w:r>
    </w:p>
    <w:p w:rsidR="00CD2D8A" w:rsidRDefault="00CD2D8A" w:rsidP="00CD2D8A">
      <w:pPr>
        <w:jc w:val="both"/>
      </w:pPr>
    </w:p>
    <w:p w:rsidR="00CD2D8A" w:rsidRDefault="00CD2D8A" w:rsidP="00CD2D8A">
      <w:pPr>
        <w:jc w:val="both"/>
      </w:pPr>
      <w:r w:rsidRPr="00E45F19">
        <w:t>Με τ</w:t>
      </w:r>
      <w:r>
        <w:t>ην εμφάνιση</w:t>
      </w:r>
      <w:r w:rsidRPr="00E45F19">
        <w:t xml:space="preserve"> της πανδημίας </w:t>
      </w:r>
      <w:r>
        <w:t>Covid-19</w:t>
      </w:r>
      <w:r w:rsidRPr="00E45F19">
        <w:t xml:space="preserve"> </w:t>
      </w:r>
      <w:r>
        <w:t>κατά το 1</w:t>
      </w:r>
      <w:r w:rsidRPr="00892EB1">
        <w:rPr>
          <w:vertAlign w:val="superscript"/>
        </w:rPr>
        <w:t>ο</w:t>
      </w:r>
      <w:r>
        <w:t xml:space="preserve"> εξάμηνο </w:t>
      </w:r>
      <w:r w:rsidRPr="00E45F19">
        <w:t>του 2020</w:t>
      </w:r>
      <w:r>
        <w:t>,</w:t>
      </w:r>
      <w:r w:rsidRPr="00E45F19">
        <w:t xml:space="preserve"> η πολιτεία έθεσε σε άμεση εφαρμογή μία σειρά παρεμβάσεων με στόχο την αναχαίτιση της εξάπλωσης του ιού και την οικονομική ενίσχυση των πληττόμενων κλάδων της οικονομίας. </w:t>
      </w:r>
      <w:r>
        <w:t xml:space="preserve">Οι παρεμβάσεις αυτές χωρίζονται σε 59 κατηγορίες μέτρων </w:t>
      </w:r>
      <w:r w:rsidRPr="00C04D10">
        <w:t>(πίνακας 2.5)</w:t>
      </w:r>
      <w:r>
        <w:t xml:space="preserve">, συνολικής αξίας 24,156 </w:t>
      </w:r>
      <w:r w:rsidR="008F24A5">
        <w:t>δισ.</w:t>
      </w:r>
      <w:r>
        <w:t xml:space="preserve"> ευρώ, εκ των οποίων 21,468 </w:t>
      </w:r>
      <w:r w:rsidR="008F24A5">
        <w:t>δισ.</w:t>
      </w:r>
      <w:r w:rsidRPr="00C04D10">
        <w:t xml:space="preserve"> ευρώ </w:t>
      </w:r>
      <w:r>
        <w:t xml:space="preserve">αφορούν το 2020 και 2,688 </w:t>
      </w:r>
      <w:r w:rsidR="008F24A5">
        <w:t>δισ.</w:t>
      </w:r>
      <w:r w:rsidRPr="00C04D10">
        <w:t xml:space="preserve"> ευρώ </w:t>
      </w:r>
      <w:r>
        <w:t xml:space="preserve">αναμένεται να επηρεάσουν το δημοσιονομικό αποτέλεσμα του 2021. </w:t>
      </w:r>
    </w:p>
    <w:p w:rsidR="00CD2D8A" w:rsidRDefault="00CD2D8A" w:rsidP="00CD2D8A">
      <w:pPr>
        <w:jc w:val="both"/>
      </w:pPr>
    </w:p>
    <w:p w:rsidR="00CD2D8A" w:rsidRDefault="00CD2D8A" w:rsidP="00CD2D8A">
      <w:pPr>
        <w:jc w:val="both"/>
      </w:pPr>
      <w:r>
        <w:t xml:space="preserve">Τα μέτρα αυτά σχεδιάστηκαν και εφαρμόστηκαν σε ελάχιστο χρονικό διάστημα, χωρίς να υπάρχει εμπειρία από προηγούμενο παρόμοιο ιστορικό συμβάν, τουλάχιστον στη μεταπολεμική ιστορία, ώστε να έχουν αναπτυχθεί </w:t>
      </w:r>
      <w:r w:rsidR="009A5E37">
        <w:t>πρότυπες</w:t>
      </w:r>
      <w:r>
        <w:t xml:space="preserve"> εγχώριες ή διεθνείς πρακτικές. Αντίθετα</w:t>
      </w:r>
      <w:r w:rsidR="001D7E83" w:rsidRPr="001D7E83">
        <w:t>,</w:t>
      </w:r>
      <w:r>
        <w:t xml:space="preserve"> πολλά από τα μέτρα αυτά υιοθετήθηκαν σε Ευρωπαϊκό επίπεδο και πλέον αποτελούν εργαλειοθήκη για μελλοντική αντιμετώπιση των οικονομικών συνεπειών ανάλογων επι</w:t>
      </w:r>
      <w:r w:rsidR="00D73C35">
        <w:t>δημιολογικών φαινομένων. Σε αυτό το πλαίσιο,</w:t>
      </w:r>
      <w:r>
        <w:t xml:space="preserve"> αξίζει να αναφερθεί η σημαντική συμβολή των Υπηρεσιών του Υπουργείου Οικονομικών, του Υπουργείου Εργασίας και Κοινωνικών Υποθέσεων, του Υπουργείου Ανάπτυξης και Επενδύσεων και των συναρμόδιων Υπουργείων και φορέων, που εργάστηκαν ακατάπαυστα για την υλοποίηση αυτού του πλήθους πολιτικών σε ασφυκτικά χρονικά </w:t>
      </w:r>
      <w:r w:rsidR="00D73C35">
        <w:t>περιθώρια</w:t>
      </w:r>
      <w:r>
        <w:t>.</w:t>
      </w:r>
    </w:p>
    <w:p w:rsidR="00CD2D8A" w:rsidRDefault="00CD2D8A" w:rsidP="00CD2D8A">
      <w:pPr>
        <w:jc w:val="both"/>
      </w:pPr>
    </w:p>
    <w:p w:rsidR="00CD2D8A" w:rsidRDefault="00CD2D8A" w:rsidP="00CD2D8A">
      <w:pPr>
        <w:jc w:val="both"/>
      </w:pPr>
      <w:r>
        <w:lastRenderedPageBreak/>
        <w:t>Οι 59 κατηγορίες μέτρων αποτελούνται από πολλαπλάσια μέτρα και κανονιστικές προσαρμογές, καθώς η πλειονότητα των μέτρων αυτών αναπροσαρμόζονταν σε πραγματικό χρόνο, είτε ως προς τη</w:t>
      </w:r>
      <w:r w:rsidR="00D73C35">
        <w:t>ν</w:t>
      </w:r>
      <w:r>
        <w:t xml:space="preserve"> περίμετρο των ωφελουμένων βάσει ΚΑΔ ή άλλων κριτηρίων, είτε ως προς τη δομή </w:t>
      </w:r>
      <w:r w:rsidR="00D73C35">
        <w:t>τους,</w:t>
      </w:r>
      <w:r>
        <w:t xml:space="preserve"> με αλλαγές στο ύψος της ωφέλειας ή τον τρόπο υπολογισμού αυτής, είτε ως προς τη χρονική διάρκεια ή την τεχνική εφαρμογή τους. Είναι ενδεικτικό ότι από τις 25 Φεβρουαρίου 2020 και έως τις 3 Οκτωβρίου 2020 έχουν εκδοθεί 841 κανονιστικές πράξεις για την αντιμετώπιση των επιδημιολογικών και οικονομικών συνεπειών της πανδημίας </w:t>
      </w:r>
      <w:r w:rsidRPr="00C351CA">
        <w:t>Covid-19</w:t>
      </w:r>
      <w:r>
        <w:t>.</w:t>
      </w:r>
    </w:p>
    <w:p w:rsidR="00CD2D8A" w:rsidRDefault="00CD2D8A" w:rsidP="00CD2D8A">
      <w:pPr>
        <w:jc w:val="both"/>
      </w:pPr>
    </w:p>
    <w:p w:rsidR="00CD2D8A" w:rsidRDefault="00CD2D8A" w:rsidP="00CD2D8A">
      <w:pPr>
        <w:jc w:val="both"/>
      </w:pPr>
      <w:r>
        <w:t>Στόχος των παρεμβάσεων αυτών είναι η στήριξη της ιδιωτικής οικονομίας που επλήγη πρωτόγνωρα από το επιδημιολογικό φαινόμενο. Τα μέτρα εστιάζουν στη στήριξη</w:t>
      </w:r>
      <w:r w:rsidRPr="008C7A9B">
        <w:t>:</w:t>
      </w:r>
    </w:p>
    <w:p w:rsidR="00D73C35" w:rsidRPr="008C7A9B" w:rsidRDefault="00D73C35" w:rsidP="00CD2D8A">
      <w:pPr>
        <w:jc w:val="both"/>
      </w:pP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τ</w:t>
      </w:r>
      <w:r w:rsidRPr="003430D2">
        <w:rPr>
          <w:rFonts w:ascii="Times New Roman" w:hAnsi="Times New Roman"/>
          <w:sz w:val="24"/>
          <w:szCs w:val="24"/>
        </w:rPr>
        <w:t>ων επιχειρήσεων που παρουσ</w:t>
      </w:r>
      <w:r>
        <w:rPr>
          <w:rFonts w:ascii="Times New Roman" w:hAnsi="Times New Roman"/>
          <w:sz w:val="24"/>
          <w:szCs w:val="24"/>
        </w:rPr>
        <w:t>ιάζουν</w:t>
      </w:r>
      <w:r w:rsidRPr="003430D2">
        <w:rPr>
          <w:rFonts w:ascii="Times New Roman" w:hAnsi="Times New Roman"/>
          <w:sz w:val="24"/>
          <w:szCs w:val="24"/>
        </w:rPr>
        <w:t xml:space="preserve"> μείωση εσόδων λόγω της πανδημίας,</w:t>
      </w: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των εργαζομένων τω</w:t>
      </w:r>
      <w:r w:rsidR="00D73C35">
        <w:rPr>
          <w:rFonts w:ascii="Times New Roman" w:hAnsi="Times New Roman"/>
          <w:sz w:val="24"/>
          <w:szCs w:val="24"/>
        </w:rPr>
        <w:t>ν πληττόμενων κλάδων, με ειδική</w:t>
      </w:r>
      <w:r w:rsidRPr="003430D2">
        <w:rPr>
          <w:rFonts w:ascii="Times New Roman" w:hAnsi="Times New Roman"/>
          <w:sz w:val="24"/>
          <w:szCs w:val="24"/>
        </w:rPr>
        <w:t xml:space="preserve"> </w:t>
      </w:r>
      <w:r w:rsidR="00D73C35">
        <w:rPr>
          <w:rFonts w:ascii="Times New Roman" w:hAnsi="Times New Roman"/>
          <w:sz w:val="24"/>
          <w:szCs w:val="24"/>
        </w:rPr>
        <w:t>μέριμνα</w:t>
      </w:r>
      <w:r w:rsidRPr="003430D2">
        <w:rPr>
          <w:rFonts w:ascii="Times New Roman" w:hAnsi="Times New Roman"/>
          <w:sz w:val="24"/>
          <w:szCs w:val="24"/>
        </w:rPr>
        <w:t xml:space="preserve"> για τους εποχικά εργαζόμε</w:t>
      </w:r>
      <w:r>
        <w:rPr>
          <w:rFonts w:ascii="Times New Roman" w:hAnsi="Times New Roman"/>
          <w:sz w:val="24"/>
          <w:szCs w:val="24"/>
        </w:rPr>
        <w:t>νους και τους απασχολούμενους στους κλάδους του τουρισμού, του πολιτισμού, του αθλητισμού, της ψυχαγωγίας και του επισιτισμού,</w:t>
      </w: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των ελευθέρων επαγγελματιών και αυτοαπασχολούμενων,</w:t>
      </w: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των ανέργων,</w:t>
      </w:r>
    </w:p>
    <w:p w:rsidR="00CD2D8A"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των αγροτών,</w:t>
      </w: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των ιδιοκτητών ακινήτων,</w:t>
      </w: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των δανειοληπτών,</w:t>
      </w: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 xml:space="preserve">του Εθνικού </w:t>
      </w:r>
      <w:r w:rsidR="00D73C35" w:rsidRPr="003430D2">
        <w:rPr>
          <w:rFonts w:ascii="Times New Roman" w:hAnsi="Times New Roman"/>
          <w:sz w:val="24"/>
          <w:szCs w:val="24"/>
        </w:rPr>
        <w:t xml:space="preserve">Συστήματος Υγείας </w:t>
      </w:r>
      <w:r w:rsidRPr="003430D2">
        <w:rPr>
          <w:rFonts w:ascii="Times New Roman" w:hAnsi="Times New Roman"/>
          <w:sz w:val="24"/>
          <w:szCs w:val="24"/>
        </w:rPr>
        <w:t>με την προμήθεια εξοπλισμού, υγειονομικού υλικού και την ενίσχυση του προσωπικού,</w:t>
      </w:r>
    </w:p>
    <w:p w:rsidR="00CD2D8A"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sidRPr="003430D2">
        <w:rPr>
          <w:rFonts w:ascii="Times New Roman" w:hAnsi="Times New Roman"/>
          <w:sz w:val="24"/>
          <w:szCs w:val="24"/>
        </w:rPr>
        <w:t>των μεταφορών</w:t>
      </w:r>
      <w:r w:rsidR="00D73C35">
        <w:rPr>
          <w:rFonts w:ascii="Times New Roman" w:hAnsi="Times New Roman"/>
          <w:sz w:val="24"/>
          <w:szCs w:val="24"/>
        </w:rPr>
        <w:t xml:space="preserve"> με ειδική πρόνοια</w:t>
      </w:r>
      <w:r>
        <w:rPr>
          <w:rFonts w:ascii="Times New Roman" w:hAnsi="Times New Roman"/>
          <w:sz w:val="24"/>
          <w:szCs w:val="24"/>
        </w:rPr>
        <w:t xml:space="preserve"> για τις αεροπορικές μεταφορές, την ακτοπλοΐα, τις χερσαίες μεταφορές κα</w:t>
      </w:r>
      <w:r w:rsidR="00D73C35">
        <w:rPr>
          <w:rFonts w:ascii="Times New Roman" w:hAnsi="Times New Roman"/>
          <w:sz w:val="24"/>
          <w:szCs w:val="24"/>
        </w:rPr>
        <w:t>ι την ενίσχυση των Μέσων Μαζικής Μεταφοράς</w:t>
      </w:r>
      <w:r>
        <w:rPr>
          <w:rFonts w:ascii="Times New Roman" w:hAnsi="Times New Roman"/>
          <w:sz w:val="24"/>
          <w:szCs w:val="24"/>
        </w:rPr>
        <w:t>,</w:t>
      </w:r>
    </w:p>
    <w:p w:rsidR="00CD2D8A" w:rsidRPr="003430D2" w:rsidRDefault="00CD2D8A" w:rsidP="00D73C35">
      <w:pPr>
        <w:pStyle w:val="ListParagraph"/>
        <w:numPr>
          <w:ilvl w:val="0"/>
          <w:numId w:val="13"/>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των κλάδων του τουρισμού, του πολιτισμού και του αθλητισμού. </w:t>
      </w:r>
    </w:p>
    <w:p w:rsidR="00D73C35" w:rsidRDefault="00D73C35" w:rsidP="00CD2D8A">
      <w:pPr>
        <w:jc w:val="both"/>
      </w:pPr>
    </w:p>
    <w:p w:rsidR="00CD2D8A" w:rsidRDefault="00CD2D8A" w:rsidP="00CD2D8A">
      <w:pPr>
        <w:jc w:val="both"/>
      </w:pPr>
      <w:r>
        <w:t>Οι 59 κατηγορίες μέτρων, χωρίζονται σε</w:t>
      </w:r>
      <w:r w:rsidRPr="00E91EE7">
        <w:t>:</w:t>
      </w:r>
    </w:p>
    <w:p w:rsidR="00D73C35" w:rsidRPr="00E91EE7" w:rsidRDefault="00D73C35" w:rsidP="00CD2D8A">
      <w:pPr>
        <w:jc w:val="both"/>
      </w:pPr>
    </w:p>
    <w:p w:rsidR="00CD2D8A" w:rsidRPr="00E91EE7" w:rsidRDefault="00CD2D8A" w:rsidP="00D73C35">
      <w:pPr>
        <w:pStyle w:val="ListParagraph"/>
        <w:numPr>
          <w:ilvl w:val="0"/>
          <w:numId w:val="14"/>
        </w:numPr>
        <w:spacing w:after="0" w:line="240" w:lineRule="auto"/>
        <w:ind w:left="284" w:hanging="284"/>
        <w:contextualSpacing w:val="0"/>
        <w:jc w:val="both"/>
        <w:rPr>
          <w:rFonts w:ascii="Times New Roman" w:hAnsi="Times New Roman"/>
          <w:sz w:val="24"/>
          <w:szCs w:val="24"/>
        </w:rPr>
      </w:pPr>
      <w:r w:rsidRPr="00E91EE7">
        <w:rPr>
          <w:rFonts w:ascii="Times New Roman" w:hAnsi="Times New Roman"/>
          <w:sz w:val="24"/>
          <w:szCs w:val="24"/>
        </w:rPr>
        <w:t xml:space="preserve">22 παρεμβάσεις που αφορούν μείωση των εσόδων Γενικής Κυβέρνησης </w:t>
      </w:r>
      <w:r>
        <w:rPr>
          <w:rFonts w:ascii="Times New Roman" w:hAnsi="Times New Roman"/>
          <w:sz w:val="24"/>
          <w:szCs w:val="24"/>
        </w:rPr>
        <w:t xml:space="preserve">με δημοσιονομικό κόστος 4,295 </w:t>
      </w:r>
      <w:r w:rsidR="008F24A5">
        <w:rPr>
          <w:rFonts w:ascii="Times New Roman" w:hAnsi="Times New Roman"/>
          <w:sz w:val="24"/>
          <w:szCs w:val="24"/>
        </w:rPr>
        <w:t>δισ.</w:t>
      </w:r>
      <w:r>
        <w:rPr>
          <w:rFonts w:ascii="Times New Roman" w:hAnsi="Times New Roman"/>
          <w:sz w:val="24"/>
          <w:szCs w:val="24"/>
        </w:rPr>
        <w:t xml:space="preserve"> ευρώ το 2020 και 1,469 </w:t>
      </w:r>
      <w:r w:rsidR="008F24A5">
        <w:rPr>
          <w:rFonts w:ascii="Times New Roman" w:hAnsi="Times New Roman"/>
          <w:sz w:val="24"/>
          <w:szCs w:val="24"/>
        </w:rPr>
        <w:t>δισ.</w:t>
      </w:r>
      <w:r>
        <w:rPr>
          <w:rFonts w:ascii="Times New Roman" w:hAnsi="Times New Roman"/>
          <w:sz w:val="24"/>
          <w:szCs w:val="24"/>
        </w:rPr>
        <w:t xml:space="preserve"> ευρώ το 2021. Σημειώνεται ότι </w:t>
      </w:r>
      <w:r w:rsidR="00D73C35">
        <w:rPr>
          <w:rFonts w:ascii="Times New Roman" w:hAnsi="Times New Roman"/>
          <w:sz w:val="24"/>
          <w:szCs w:val="24"/>
        </w:rPr>
        <w:t>το ύψος</w:t>
      </w:r>
      <w:r>
        <w:rPr>
          <w:rFonts w:ascii="Times New Roman" w:hAnsi="Times New Roman"/>
          <w:sz w:val="24"/>
          <w:szCs w:val="24"/>
        </w:rPr>
        <w:t xml:space="preserve"> των παρεμβάσεων για το 2021 ανέρχεται σε 1,775 </w:t>
      </w:r>
      <w:r w:rsidR="008F24A5">
        <w:rPr>
          <w:rFonts w:ascii="Times New Roman" w:hAnsi="Times New Roman"/>
          <w:sz w:val="24"/>
          <w:szCs w:val="24"/>
        </w:rPr>
        <w:t>δισ.</w:t>
      </w:r>
      <w:r>
        <w:rPr>
          <w:rFonts w:ascii="Times New Roman" w:hAnsi="Times New Roman"/>
          <w:sz w:val="24"/>
          <w:szCs w:val="24"/>
        </w:rPr>
        <w:t xml:space="preserve"> ευρώ, ωστόσο 305 </w:t>
      </w:r>
      <w:r w:rsidR="008F24A5">
        <w:rPr>
          <w:rFonts w:ascii="Times New Roman" w:hAnsi="Times New Roman"/>
          <w:sz w:val="24"/>
          <w:szCs w:val="24"/>
        </w:rPr>
        <w:t>εκατ.</w:t>
      </w:r>
      <w:r>
        <w:rPr>
          <w:rFonts w:ascii="Times New Roman" w:hAnsi="Times New Roman"/>
          <w:sz w:val="24"/>
          <w:szCs w:val="24"/>
        </w:rPr>
        <w:t xml:space="preserve"> ευρώ αναμένεται να επιστραφούν από αναστολές φορολογικών και ασφαλιστικών υποχρεώσεων του 2020, από τον</w:t>
      </w:r>
      <w:r w:rsidR="00D73C35">
        <w:rPr>
          <w:rFonts w:ascii="Times New Roman" w:hAnsi="Times New Roman"/>
          <w:sz w:val="24"/>
          <w:szCs w:val="24"/>
        </w:rPr>
        <w:t xml:space="preserve"> Απρίλιο του 2021 και έπειτα</w:t>
      </w:r>
      <w:r w:rsidR="00C35DAC">
        <w:rPr>
          <w:rFonts w:ascii="Times New Roman" w:hAnsi="Times New Roman"/>
          <w:sz w:val="24"/>
          <w:szCs w:val="24"/>
        </w:rPr>
        <w:t>,</w:t>
      </w:r>
      <w:r w:rsidR="00D73C35">
        <w:rPr>
          <w:rFonts w:ascii="Times New Roman" w:hAnsi="Times New Roman"/>
          <w:sz w:val="24"/>
          <w:szCs w:val="24"/>
        </w:rPr>
        <w:t xml:space="preserve"> στο πλαίσιο</w:t>
      </w:r>
      <w:r>
        <w:rPr>
          <w:rFonts w:ascii="Times New Roman" w:hAnsi="Times New Roman"/>
          <w:sz w:val="24"/>
          <w:szCs w:val="24"/>
        </w:rPr>
        <w:t xml:space="preserve"> των 12 ή 24 δόσεων,</w:t>
      </w:r>
    </w:p>
    <w:p w:rsidR="00CD2D8A" w:rsidRDefault="00CD2D8A" w:rsidP="00D73C35">
      <w:pPr>
        <w:pStyle w:val="ListParagraph"/>
        <w:numPr>
          <w:ilvl w:val="0"/>
          <w:numId w:val="14"/>
        </w:numPr>
        <w:spacing w:after="0" w:line="240" w:lineRule="auto"/>
        <w:ind w:left="284" w:hanging="284"/>
        <w:contextualSpacing w:val="0"/>
        <w:jc w:val="both"/>
        <w:rPr>
          <w:rFonts w:ascii="Times New Roman" w:hAnsi="Times New Roman"/>
          <w:sz w:val="24"/>
          <w:szCs w:val="24"/>
        </w:rPr>
      </w:pPr>
      <w:r w:rsidRPr="00E91EE7">
        <w:rPr>
          <w:rFonts w:ascii="Times New Roman" w:hAnsi="Times New Roman"/>
          <w:sz w:val="24"/>
          <w:szCs w:val="24"/>
        </w:rPr>
        <w:t>31 παρεμβάσεις που αφορούν αύξηση δαπανών Γενικής Κυβέρνησης</w:t>
      </w:r>
      <w:r w:rsidR="00C35DAC">
        <w:rPr>
          <w:rFonts w:ascii="Times New Roman" w:hAnsi="Times New Roman"/>
          <w:sz w:val="24"/>
          <w:szCs w:val="24"/>
        </w:rPr>
        <w:t>,</w:t>
      </w:r>
      <w:r>
        <w:rPr>
          <w:rFonts w:ascii="Times New Roman" w:hAnsi="Times New Roman"/>
          <w:sz w:val="24"/>
          <w:szCs w:val="24"/>
        </w:rPr>
        <w:t xml:space="preserve"> με δημοσιονομικό κόστος 8,702 </w:t>
      </w:r>
      <w:r w:rsidR="008F24A5">
        <w:rPr>
          <w:rFonts w:ascii="Times New Roman" w:hAnsi="Times New Roman"/>
          <w:sz w:val="24"/>
          <w:szCs w:val="24"/>
        </w:rPr>
        <w:t>δισ.</w:t>
      </w:r>
      <w:r>
        <w:rPr>
          <w:rFonts w:ascii="Times New Roman" w:hAnsi="Times New Roman"/>
          <w:sz w:val="24"/>
          <w:szCs w:val="24"/>
        </w:rPr>
        <w:t xml:space="preserve"> ευρώ το 2020 και 913 </w:t>
      </w:r>
      <w:r w:rsidR="008F24A5">
        <w:rPr>
          <w:rFonts w:ascii="Times New Roman" w:hAnsi="Times New Roman"/>
          <w:sz w:val="24"/>
          <w:szCs w:val="24"/>
        </w:rPr>
        <w:t>εκατ.</w:t>
      </w:r>
      <w:r>
        <w:rPr>
          <w:rFonts w:ascii="Times New Roman" w:hAnsi="Times New Roman"/>
          <w:sz w:val="24"/>
          <w:szCs w:val="24"/>
        </w:rPr>
        <w:t xml:space="preserve"> ευρώ το 2021. Από αυτές</w:t>
      </w:r>
      <w:r w:rsidR="00C35DAC">
        <w:rPr>
          <w:rFonts w:ascii="Times New Roman" w:hAnsi="Times New Roman"/>
          <w:sz w:val="24"/>
          <w:szCs w:val="24"/>
        </w:rPr>
        <w:t>,</w:t>
      </w:r>
      <w:r>
        <w:rPr>
          <w:rFonts w:ascii="Times New Roman" w:hAnsi="Times New Roman"/>
          <w:sz w:val="24"/>
          <w:szCs w:val="24"/>
        </w:rPr>
        <w:t xml:space="preserve"> δαπάνες ύψους 1,834 </w:t>
      </w:r>
      <w:r w:rsidR="008F24A5">
        <w:rPr>
          <w:rFonts w:ascii="Times New Roman" w:hAnsi="Times New Roman"/>
          <w:sz w:val="24"/>
          <w:szCs w:val="24"/>
        </w:rPr>
        <w:t>δισ.</w:t>
      </w:r>
      <w:r>
        <w:rPr>
          <w:rFonts w:ascii="Times New Roman" w:hAnsi="Times New Roman"/>
          <w:sz w:val="24"/>
          <w:szCs w:val="24"/>
        </w:rPr>
        <w:t xml:space="preserve"> ευρώ το 2020 και 11 </w:t>
      </w:r>
      <w:r w:rsidR="008F24A5">
        <w:rPr>
          <w:rFonts w:ascii="Times New Roman" w:hAnsi="Times New Roman"/>
          <w:sz w:val="24"/>
          <w:szCs w:val="24"/>
        </w:rPr>
        <w:t>εκατ.</w:t>
      </w:r>
      <w:r>
        <w:rPr>
          <w:rFonts w:ascii="Times New Roman" w:hAnsi="Times New Roman"/>
          <w:sz w:val="24"/>
          <w:szCs w:val="24"/>
        </w:rPr>
        <w:t xml:space="preserve"> ευρώ το 2021 χρηματοδοτούνται από το ΠΔΕ,</w:t>
      </w:r>
    </w:p>
    <w:p w:rsidR="00CD2D8A" w:rsidRDefault="00CD2D8A" w:rsidP="00D73C35">
      <w:pPr>
        <w:pStyle w:val="ListParagraph"/>
        <w:numPr>
          <w:ilvl w:val="0"/>
          <w:numId w:val="14"/>
        </w:numPr>
        <w:spacing w:after="0" w:line="240" w:lineRule="auto"/>
        <w:ind w:left="284" w:hanging="284"/>
        <w:contextualSpacing w:val="0"/>
        <w:jc w:val="both"/>
        <w:rPr>
          <w:rFonts w:ascii="Times New Roman" w:hAnsi="Times New Roman"/>
          <w:sz w:val="24"/>
          <w:szCs w:val="24"/>
        </w:rPr>
      </w:pPr>
      <w:r w:rsidRPr="00E91EE7">
        <w:rPr>
          <w:rFonts w:ascii="Times New Roman" w:hAnsi="Times New Roman"/>
          <w:sz w:val="24"/>
          <w:szCs w:val="24"/>
        </w:rPr>
        <w:t xml:space="preserve">4 </w:t>
      </w:r>
      <w:r w:rsidR="00C35DAC" w:rsidRPr="00E91EE7">
        <w:rPr>
          <w:rFonts w:ascii="Times New Roman" w:hAnsi="Times New Roman"/>
          <w:sz w:val="24"/>
          <w:szCs w:val="24"/>
        </w:rPr>
        <w:t xml:space="preserve">παρεμβάσεις </w:t>
      </w:r>
      <w:r w:rsidRPr="00E91EE7">
        <w:rPr>
          <w:rFonts w:ascii="Times New Roman" w:hAnsi="Times New Roman"/>
          <w:sz w:val="24"/>
          <w:szCs w:val="24"/>
        </w:rPr>
        <w:t>δημοσιονομικά ουδέτερες</w:t>
      </w:r>
      <w:r w:rsidR="00C35DAC">
        <w:rPr>
          <w:rFonts w:ascii="Times New Roman" w:hAnsi="Times New Roman"/>
          <w:sz w:val="24"/>
          <w:szCs w:val="24"/>
        </w:rPr>
        <w:t>,</w:t>
      </w:r>
      <w:r w:rsidRPr="00E91EE7">
        <w:rPr>
          <w:rFonts w:ascii="Times New Roman" w:hAnsi="Times New Roman"/>
          <w:sz w:val="24"/>
          <w:szCs w:val="24"/>
        </w:rPr>
        <w:t xml:space="preserve"> που ωστόσο ήταν σημαντικές για τη λειτουργία της ιδιωτικής οικονομίας τη συγκεκριμένη </w:t>
      </w:r>
      <w:r w:rsidR="00C35DAC">
        <w:rPr>
          <w:rFonts w:ascii="Times New Roman" w:hAnsi="Times New Roman"/>
          <w:sz w:val="24"/>
          <w:szCs w:val="24"/>
        </w:rPr>
        <w:t xml:space="preserve">χρονική </w:t>
      </w:r>
      <w:r w:rsidRPr="00E91EE7">
        <w:rPr>
          <w:rFonts w:ascii="Times New Roman" w:hAnsi="Times New Roman"/>
          <w:sz w:val="24"/>
          <w:szCs w:val="24"/>
        </w:rPr>
        <w:t xml:space="preserve">περίοδο και τη σχέση αυτής με το Τραπεζικό σύστημα και </w:t>
      </w:r>
    </w:p>
    <w:p w:rsidR="00CD2D8A" w:rsidRPr="006F22B9" w:rsidRDefault="00CD2D8A" w:rsidP="00D73C35">
      <w:pPr>
        <w:pStyle w:val="ListParagraph"/>
        <w:numPr>
          <w:ilvl w:val="0"/>
          <w:numId w:val="14"/>
        </w:numPr>
        <w:spacing w:after="0" w:line="240" w:lineRule="auto"/>
        <w:ind w:left="284" w:hanging="284"/>
        <w:contextualSpacing w:val="0"/>
        <w:jc w:val="both"/>
        <w:rPr>
          <w:rFonts w:ascii="Times New Roman" w:hAnsi="Times New Roman"/>
          <w:sz w:val="24"/>
          <w:szCs w:val="24"/>
        </w:rPr>
      </w:pPr>
      <w:r w:rsidRPr="006F22B9">
        <w:rPr>
          <w:rFonts w:ascii="Times New Roman" w:hAnsi="Times New Roman"/>
          <w:sz w:val="24"/>
          <w:szCs w:val="24"/>
        </w:rPr>
        <w:t xml:space="preserve">2 παρεμβάσεις παροχής ρευστότητας, χρηματοδοτούμενες από το ΠΔΕ, που έχουν ταμειακή επιβάρυνση 2,588 </w:t>
      </w:r>
      <w:r w:rsidR="008F24A5" w:rsidRPr="006F22B9">
        <w:rPr>
          <w:rFonts w:ascii="Times New Roman" w:hAnsi="Times New Roman"/>
          <w:sz w:val="24"/>
          <w:szCs w:val="24"/>
        </w:rPr>
        <w:t>δισ.</w:t>
      </w:r>
      <w:r w:rsidRPr="006F22B9">
        <w:rPr>
          <w:rFonts w:ascii="Times New Roman" w:hAnsi="Times New Roman"/>
          <w:sz w:val="24"/>
          <w:szCs w:val="24"/>
        </w:rPr>
        <w:t xml:space="preserve"> ευρώ για το 2020, </w:t>
      </w:r>
      <w:r w:rsidR="00C35DAC" w:rsidRPr="006F22B9">
        <w:rPr>
          <w:rFonts w:ascii="Times New Roman" w:hAnsi="Times New Roman"/>
          <w:sz w:val="24"/>
          <w:szCs w:val="24"/>
        </w:rPr>
        <w:t>οι οποίες</w:t>
      </w:r>
      <w:r w:rsidRPr="006F22B9">
        <w:rPr>
          <w:rFonts w:ascii="Times New Roman" w:hAnsi="Times New Roman"/>
          <w:sz w:val="24"/>
          <w:szCs w:val="24"/>
        </w:rPr>
        <w:t xml:space="preserve"> με τη μόχλευση των ποσών </w:t>
      </w:r>
      <w:r w:rsidR="00362FCD" w:rsidRPr="006F22B9">
        <w:rPr>
          <w:rFonts w:ascii="Times New Roman" w:hAnsi="Times New Roman"/>
          <w:sz w:val="24"/>
          <w:szCs w:val="24"/>
        </w:rPr>
        <w:t xml:space="preserve">που διατίθενται από το τραπεζικό σύστημα </w:t>
      </w:r>
      <w:r w:rsidRPr="006F22B9">
        <w:rPr>
          <w:rFonts w:ascii="Times New Roman" w:hAnsi="Times New Roman"/>
          <w:sz w:val="24"/>
          <w:szCs w:val="24"/>
        </w:rPr>
        <w:t xml:space="preserve">αντιστοιχούν σε </w:t>
      </w:r>
      <w:r w:rsidR="00362FCD" w:rsidRPr="006F22B9">
        <w:rPr>
          <w:rFonts w:ascii="Times New Roman" w:hAnsi="Times New Roman"/>
          <w:sz w:val="24"/>
          <w:szCs w:val="24"/>
        </w:rPr>
        <w:t xml:space="preserve">παροχή ρευστότητας στον ιδιωτικό τομέα της Ελληνική οικονομίας ύψους </w:t>
      </w:r>
      <w:r w:rsidRPr="006F22B9">
        <w:rPr>
          <w:rFonts w:ascii="Times New Roman" w:hAnsi="Times New Roman"/>
          <w:sz w:val="24"/>
          <w:szCs w:val="24"/>
        </w:rPr>
        <w:t xml:space="preserve">8,471 </w:t>
      </w:r>
      <w:r w:rsidR="008F24A5" w:rsidRPr="006F22B9">
        <w:rPr>
          <w:rFonts w:ascii="Times New Roman" w:hAnsi="Times New Roman"/>
          <w:sz w:val="24"/>
          <w:szCs w:val="24"/>
        </w:rPr>
        <w:t>δισ.</w:t>
      </w:r>
      <w:r w:rsidR="00362FCD" w:rsidRPr="006F22B9">
        <w:rPr>
          <w:rFonts w:ascii="Times New Roman" w:hAnsi="Times New Roman"/>
          <w:sz w:val="24"/>
          <w:szCs w:val="24"/>
        </w:rPr>
        <w:t xml:space="preserve"> ευρώ</w:t>
      </w:r>
      <w:r w:rsidRPr="006F22B9">
        <w:rPr>
          <w:rFonts w:ascii="Times New Roman" w:hAnsi="Times New Roman"/>
          <w:sz w:val="24"/>
          <w:szCs w:val="24"/>
        </w:rPr>
        <w:t>.</w:t>
      </w:r>
    </w:p>
    <w:p w:rsidR="00D73C35" w:rsidRPr="006F22B9" w:rsidRDefault="00D73C35" w:rsidP="00CD2D8A">
      <w:pPr>
        <w:jc w:val="both"/>
      </w:pPr>
    </w:p>
    <w:p w:rsidR="00CD2D8A" w:rsidRDefault="008638A5" w:rsidP="00CD2D8A">
      <w:pPr>
        <w:jc w:val="both"/>
      </w:pPr>
      <w:r w:rsidRPr="006F22B9">
        <w:t>Οι 59 παρεμβάσεις έχουν συνολικό</w:t>
      </w:r>
      <w:r w:rsidR="00CD2D8A" w:rsidRPr="006F22B9">
        <w:t xml:space="preserve"> </w:t>
      </w:r>
      <w:r w:rsidRPr="006F22B9">
        <w:t>ύψος</w:t>
      </w:r>
      <w:r w:rsidR="00CD2D8A" w:rsidRPr="006F22B9">
        <w:t xml:space="preserve"> 24,156 </w:t>
      </w:r>
      <w:r w:rsidR="008F24A5" w:rsidRPr="006F22B9">
        <w:t>δισ.</w:t>
      </w:r>
      <w:r w:rsidR="00CD2D8A" w:rsidRPr="006F22B9">
        <w:t xml:space="preserve"> ευρώ, εκ των οποίων 21,468 </w:t>
      </w:r>
      <w:r w:rsidR="008F24A5" w:rsidRPr="006F22B9">
        <w:t>δισ.</w:t>
      </w:r>
      <w:r w:rsidR="00CD2D8A" w:rsidRPr="006F22B9">
        <w:t xml:space="preserve"> ευρώ αφορούν το 2020 (</w:t>
      </w:r>
      <w:r w:rsidRPr="006F22B9">
        <w:t xml:space="preserve">συμπεριλαμβάνοντας </w:t>
      </w:r>
      <w:r w:rsidR="00CD2D8A" w:rsidRPr="006F22B9">
        <w:t xml:space="preserve">τη μόχλευση των χρηματοοικονομικών εργαλείων ύψους 5,883 </w:t>
      </w:r>
      <w:r w:rsidR="008F24A5" w:rsidRPr="006F22B9">
        <w:t>δισ.</w:t>
      </w:r>
      <w:r w:rsidR="00CD2D8A" w:rsidRPr="006F22B9">
        <w:t xml:space="preserve"> ευρώ). Το ταμειακό κόστος για το 2020 ανέρχεται σε 15,585 </w:t>
      </w:r>
      <w:r w:rsidR="008F24A5" w:rsidRPr="006F22B9">
        <w:t>δισ.</w:t>
      </w:r>
      <w:r w:rsidR="00CD2D8A" w:rsidRPr="006F22B9">
        <w:t xml:space="preserve"> ευρώ. Το μεγαλύτερο μέρος, ήτοι </w:t>
      </w:r>
      <w:r w:rsidRPr="006F22B9">
        <w:t xml:space="preserve">ποσό </w:t>
      </w:r>
      <w:r w:rsidR="00CD2D8A" w:rsidRPr="006F22B9">
        <w:t xml:space="preserve">11,794 </w:t>
      </w:r>
      <w:r w:rsidR="008F24A5" w:rsidRPr="006F22B9">
        <w:t>δισ.</w:t>
      </w:r>
      <w:r w:rsidR="00CD2D8A" w:rsidRPr="006F22B9">
        <w:t xml:space="preserve"> ευρώ </w:t>
      </w:r>
      <w:r w:rsidRPr="006F22B9">
        <w:t xml:space="preserve">επιφέρει δημοσιονομική επίπτωση, ποσό </w:t>
      </w:r>
      <w:r w:rsidR="00CD2D8A" w:rsidRPr="006F22B9">
        <w:t xml:space="preserve">1,203 </w:t>
      </w:r>
      <w:r w:rsidR="008F24A5" w:rsidRPr="006F22B9">
        <w:t>δισ.</w:t>
      </w:r>
      <w:r w:rsidR="00CD2D8A" w:rsidRPr="006F22B9">
        <w:t xml:space="preserve"> ευρώ αφορά αναστολές φορολογικών και ασφαλιστικών υποχρεώσεων και </w:t>
      </w:r>
      <w:r w:rsidRPr="006F22B9">
        <w:t xml:space="preserve">ποσό </w:t>
      </w:r>
      <w:r w:rsidR="00CD2D8A" w:rsidRPr="006F22B9">
        <w:lastRenderedPageBreak/>
        <w:t xml:space="preserve">2,588 </w:t>
      </w:r>
      <w:r w:rsidR="008F24A5" w:rsidRPr="006F22B9">
        <w:t>δισ.</w:t>
      </w:r>
      <w:r w:rsidR="00CD2D8A" w:rsidRPr="006F22B9">
        <w:t xml:space="preserve"> ευρώ αφορά παρεμβάσεις παροχής ρευστότητας. </w:t>
      </w:r>
      <w:r w:rsidRPr="006F22B9">
        <w:t xml:space="preserve">Το ύψος </w:t>
      </w:r>
      <w:r w:rsidR="00CD2D8A" w:rsidRPr="006F22B9">
        <w:t>των παρεμβάσεων για το 2021 ανέρχε</w:t>
      </w:r>
      <w:r w:rsidRPr="006F22B9">
        <w:t>ται στο ποσό των</w:t>
      </w:r>
      <w:r w:rsidR="00CD2D8A" w:rsidRPr="006F22B9">
        <w:t xml:space="preserve"> 2,688 </w:t>
      </w:r>
      <w:r w:rsidR="008F24A5" w:rsidRPr="006F22B9">
        <w:t>δισ.</w:t>
      </w:r>
      <w:r w:rsidR="00CD2D8A" w:rsidRPr="006F22B9">
        <w:t xml:space="preserve"> ευρώ</w:t>
      </w:r>
      <w:r w:rsidRPr="006F22B9">
        <w:t>, το οποίο στο σύνολό</w:t>
      </w:r>
      <w:r w:rsidR="00CD2D8A" w:rsidRPr="006F22B9">
        <w:t xml:space="preserve"> τ</w:t>
      </w:r>
      <w:r w:rsidRPr="006F22B9">
        <w:t>ου</w:t>
      </w:r>
      <w:r w:rsidR="00CD2D8A" w:rsidRPr="006F22B9">
        <w:t xml:space="preserve"> </w:t>
      </w:r>
      <w:r w:rsidRPr="006F22B9">
        <w:t>προκαλεί</w:t>
      </w:r>
      <w:r w:rsidR="00CD2D8A" w:rsidRPr="006F22B9">
        <w:t xml:space="preserve"> δημοσιονομι</w:t>
      </w:r>
      <w:r w:rsidRPr="006F22B9">
        <w:t>κή επίπτωση</w:t>
      </w:r>
      <w:r w:rsidR="00CD2D8A" w:rsidRPr="006F22B9">
        <w:t>.</w:t>
      </w:r>
    </w:p>
    <w:p w:rsidR="00CD2D8A" w:rsidRDefault="00CD2D8A" w:rsidP="00CD2D8A">
      <w:pPr>
        <w:jc w:val="both"/>
      </w:pPr>
    </w:p>
    <w:p w:rsidR="00CD2D8A" w:rsidRPr="008652D7" w:rsidRDefault="00CD2D8A" w:rsidP="00CD2D8A">
      <w:pPr>
        <w:jc w:val="both"/>
      </w:pPr>
      <w:r>
        <w:t>Ειδικά για το 2021 οι παρεμβάσεις που επηρεάζουν το δημοσιονομικό αποτέλεσμα αφορούν</w:t>
      </w:r>
      <w:r w:rsidRPr="00591247">
        <w:t>:</w:t>
      </w:r>
    </w:p>
    <w:p w:rsidR="00CD2D8A" w:rsidRPr="00591247" w:rsidRDefault="00CD2D8A" w:rsidP="00CD2D8A">
      <w:pPr>
        <w:jc w:val="both"/>
      </w:pPr>
    </w:p>
    <w:p w:rsidR="00CD2D8A" w:rsidRPr="008652D7" w:rsidRDefault="00914D7F"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00CD2D8A" w:rsidRPr="008652D7">
        <w:rPr>
          <w:rFonts w:ascii="Times New Roman" w:eastAsia="Times New Roman" w:hAnsi="Times New Roman"/>
          <w:sz w:val="24"/>
          <w:szCs w:val="24"/>
          <w:lang w:eastAsia="el-GR"/>
        </w:rPr>
        <w:t xml:space="preserve">η μείωση κατά τρεις ποσοστιαίες μονάδες των ασφαλιστικών εισφορών των μισθωτών του ιδιωτικού τομέα, με κόστος 816 </w:t>
      </w:r>
      <w:r w:rsidR="008F24A5">
        <w:rPr>
          <w:rFonts w:ascii="Times New Roman" w:eastAsia="Times New Roman" w:hAnsi="Times New Roman"/>
          <w:sz w:val="24"/>
          <w:szCs w:val="24"/>
          <w:lang w:eastAsia="el-GR"/>
        </w:rPr>
        <w:t>εκατ.</w:t>
      </w:r>
      <w:r w:rsidR="00CD2D8A" w:rsidRPr="008652D7">
        <w:rPr>
          <w:rFonts w:ascii="Times New Roman" w:eastAsia="Times New Roman" w:hAnsi="Times New Roman"/>
          <w:sz w:val="24"/>
          <w:szCs w:val="24"/>
          <w:lang w:eastAsia="el-GR"/>
        </w:rPr>
        <w:t xml:space="preserve"> ευρώ,</w:t>
      </w:r>
    </w:p>
    <w:p w:rsidR="00CD2D8A" w:rsidRPr="008652D7"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sidRPr="008652D7">
        <w:rPr>
          <w:rFonts w:ascii="Times New Roman" w:eastAsia="Times New Roman" w:hAnsi="Times New Roman"/>
          <w:sz w:val="24"/>
          <w:szCs w:val="24"/>
          <w:lang w:eastAsia="el-GR"/>
        </w:rPr>
        <w:t>την αναστολή καταβολής Ειδικής Εισφοράς Αλληλεγγύης στον ιδιωτικό τομέα</w:t>
      </w:r>
      <w:r w:rsidR="00914D7F">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 </w:t>
      </w:r>
      <w:r w:rsidRPr="008652D7">
        <w:rPr>
          <w:rFonts w:ascii="Times New Roman" w:eastAsia="Times New Roman" w:hAnsi="Times New Roman"/>
          <w:sz w:val="24"/>
          <w:szCs w:val="24"/>
          <w:lang w:eastAsia="el-GR"/>
        </w:rPr>
        <w:t xml:space="preserve">με κόστος 767 </w:t>
      </w:r>
      <w:r w:rsidR="008F24A5">
        <w:rPr>
          <w:rFonts w:ascii="Times New Roman" w:eastAsia="Times New Roman" w:hAnsi="Times New Roman"/>
          <w:sz w:val="24"/>
          <w:szCs w:val="24"/>
          <w:lang w:eastAsia="el-GR"/>
        </w:rPr>
        <w:t>εκατ.</w:t>
      </w:r>
      <w:r w:rsidRPr="008652D7">
        <w:rPr>
          <w:rFonts w:ascii="Times New Roman" w:eastAsia="Times New Roman" w:hAnsi="Times New Roman"/>
          <w:sz w:val="24"/>
          <w:szCs w:val="24"/>
          <w:lang w:eastAsia="el-GR"/>
        </w:rPr>
        <w:t xml:space="preserve"> ευρώ,</w:t>
      </w:r>
    </w:p>
    <w:p w:rsidR="00CD2D8A" w:rsidRPr="008652D7"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8652D7">
        <w:rPr>
          <w:rFonts w:ascii="Times New Roman" w:eastAsia="Times New Roman" w:hAnsi="Times New Roman"/>
          <w:sz w:val="24"/>
          <w:szCs w:val="24"/>
          <w:lang w:eastAsia="el-GR"/>
        </w:rPr>
        <w:t>η</w:t>
      </w:r>
      <w:r>
        <w:rPr>
          <w:rFonts w:ascii="Times New Roman" w:eastAsia="Times New Roman" w:hAnsi="Times New Roman"/>
          <w:sz w:val="24"/>
          <w:szCs w:val="24"/>
          <w:lang w:eastAsia="el-GR"/>
        </w:rPr>
        <w:t>ν</w:t>
      </w:r>
      <w:r w:rsidRPr="008652D7">
        <w:rPr>
          <w:rFonts w:ascii="Times New Roman" w:eastAsia="Times New Roman" w:hAnsi="Times New Roman"/>
          <w:sz w:val="24"/>
          <w:szCs w:val="24"/>
          <w:lang w:eastAsia="el-GR"/>
        </w:rPr>
        <w:t xml:space="preserve"> κάλυψη των ασφαλιστικών εισφορών από τον κρατικό προϋπολογισμό και</w:t>
      </w:r>
      <w:r w:rsidR="00914D7F">
        <w:rPr>
          <w:rFonts w:ascii="Times New Roman" w:eastAsia="Times New Roman" w:hAnsi="Times New Roman"/>
          <w:sz w:val="24"/>
          <w:szCs w:val="24"/>
          <w:lang w:eastAsia="el-GR"/>
        </w:rPr>
        <w:t xml:space="preserve"> την</w:t>
      </w:r>
      <w:r w:rsidRPr="008652D7">
        <w:rPr>
          <w:rFonts w:ascii="Times New Roman" w:eastAsia="Times New Roman" w:hAnsi="Times New Roman"/>
          <w:sz w:val="24"/>
          <w:szCs w:val="24"/>
          <w:lang w:eastAsia="el-GR"/>
        </w:rPr>
        <w:t xml:space="preserve"> επιδότηση 200 ευρώ</w:t>
      </w:r>
      <w:r w:rsidR="00914D7F">
        <w:rPr>
          <w:rFonts w:ascii="Times New Roman" w:eastAsia="Times New Roman" w:hAnsi="Times New Roman"/>
          <w:sz w:val="24"/>
          <w:szCs w:val="24"/>
          <w:lang w:eastAsia="el-GR"/>
        </w:rPr>
        <w:t>,</w:t>
      </w:r>
      <w:r w:rsidRPr="008652D7">
        <w:rPr>
          <w:rFonts w:ascii="Times New Roman" w:eastAsia="Times New Roman" w:hAnsi="Times New Roman"/>
          <w:sz w:val="24"/>
          <w:szCs w:val="24"/>
          <w:lang w:eastAsia="el-GR"/>
        </w:rPr>
        <w:t xml:space="preserve"> σε περίπτωση πρόσληψης μακροχρόνια ανέργου, για περίοδο 6 μηνών, στο πλαίσιο του προγράμματος για τη δημιουργία 100.000 νέων θέσεων εργασίας, με κόστος 302 </w:t>
      </w:r>
      <w:r w:rsidR="008F24A5">
        <w:rPr>
          <w:rFonts w:ascii="Times New Roman" w:eastAsia="Times New Roman" w:hAnsi="Times New Roman"/>
          <w:sz w:val="24"/>
          <w:szCs w:val="24"/>
          <w:lang w:eastAsia="el-GR"/>
        </w:rPr>
        <w:t>εκατ.</w:t>
      </w:r>
      <w:r w:rsidRPr="008652D7">
        <w:rPr>
          <w:rFonts w:ascii="Times New Roman" w:eastAsia="Times New Roman" w:hAnsi="Times New Roman"/>
          <w:sz w:val="24"/>
          <w:szCs w:val="24"/>
          <w:lang w:eastAsia="el-GR"/>
        </w:rPr>
        <w:t xml:space="preserve"> ευρώ για το 2021,</w:t>
      </w:r>
    </w:p>
    <w:p w:rsidR="00CD2D8A" w:rsidRPr="008652D7"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sidRPr="008652D7">
        <w:rPr>
          <w:rFonts w:ascii="Times New Roman" w:eastAsia="Times New Roman" w:hAnsi="Times New Roman"/>
          <w:sz w:val="24"/>
          <w:szCs w:val="24"/>
          <w:lang w:eastAsia="el-GR"/>
        </w:rPr>
        <w:t>το πρόγραμμα ΓΕΦΥΡΑ</w:t>
      </w:r>
      <w:r w:rsidR="00914D7F">
        <w:rPr>
          <w:rFonts w:ascii="Times New Roman" w:eastAsia="Times New Roman" w:hAnsi="Times New Roman"/>
          <w:sz w:val="24"/>
          <w:szCs w:val="24"/>
          <w:lang w:eastAsia="el-GR"/>
        </w:rPr>
        <w:t>,</w:t>
      </w:r>
      <w:r w:rsidRPr="008652D7">
        <w:rPr>
          <w:rFonts w:ascii="Times New Roman" w:eastAsia="Times New Roman" w:hAnsi="Times New Roman"/>
          <w:sz w:val="24"/>
          <w:szCs w:val="24"/>
          <w:lang w:eastAsia="el-GR"/>
        </w:rPr>
        <w:t xml:space="preserve"> που αφορά στην επιδότηση της πρώτης κατοικίας για δανειολήπτες που επλήγησαν από την πανδημία Covid-19, με κόστος 280 </w:t>
      </w:r>
      <w:r w:rsidR="008F24A5">
        <w:rPr>
          <w:rFonts w:ascii="Times New Roman" w:eastAsia="Times New Roman" w:hAnsi="Times New Roman"/>
          <w:sz w:val="24"/>
          <w:szCs w:val="24"/>
          <w:lang w:eastAsia="el-GR"/>
        </w:rPr>
        <w:t>εκατ.</w:t>
      </w:r>
      <w:r w:rsidRPr="008652D7">
        <w:rPr>
          <w:rFonts w:ascii="Times New Roman" w:eastAsia="Times New Roman" w:hAnsi="Times New Roman"/>
          <w:sz w:val="24"/>
          <w:szCs w:val="24"/>
          <w:lang w:eastAsia="el-GR"/>
        </w:rPr>
        <w:t xml:space="preserve"> ευρώ για το 2021,</w:t>
      </w:r>
    </w:p>
    <w:p w:rsidR="00CD2D8A" w:rsidRPr="008652D7"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8652D7">
        <w:rPr>
          <w:rFonts w:ascii="Times New Roman" w:eastAsia="Times New Roman" w:hAnsi="Times New Roman"/>
          <w:sz w:val="24"/>
          <w:szCs w:val="24"/>
          <w:lang w:eastAsia="el-GR"/>
        </w:rPr>
        <w:t>η</w:t>
      </w:r>
      <w:r>
        <w:rPr>
          <w:rFonts w:ascii="Times New Roman" w:eastAsia="Times New Roman" w:hAnsi="Times New Roman"/>
          <w:sz w:val="24"/>
          <w:szCs w:val="24"/>
          <w:lang w:eastAsia="el-GR"/>
        </w:rPr>
        <w:t>ν</w:t>
      </w:r>
      <w:r w:rsidRPr="008652D7">
        <w:rPr>
          <w:rFonts w:ascii="Times New Roman" w:eastAsia="Times New Roman" w:hAnsi="Times New Roman"/>
          <w:sz w:val="24"/>
          <w:szCs w:val="24"/>
          <w:lang w:eastAsia="el-GR"/>
        </w:rPr>
        <w:t xml:space="preserve"> επέκταση της μείωσης του ΦΠΑ σε διάφορες </w:t>
      </w:r>
      <w:r w:rsidR="001D7E83">
        <w:rPr>
          <w:rFonts w:ascii="Times New Roman" w:eastAsia="Times New Roman" w:hAnsi="Times New Roman"/>
          <w:sz w:val="24"/>
          <w:szCs w:val="24"/>
          <w:lang w:eastAsia="el-GR"/>
        </w:rPr>
        <w:t>κατηγορίες</w:t>
      </w:r>
      <w:r w:rsidRPr="008652D7">
        <w:rPr>
          <w:rFonts w:ascii="Times New Roman" w:eastAsia="Times New Roman" w:hAnsi="Times New Roman"/>
          <w:sz w:val="24"/>
          <w:szCs w:val="24"/>
          <w:lang w:eastAsia="el-GR"/>
        </w:rPr>
        <w:t xml:space="preserve"> αγαθών και υπηρεσιών </w:t>
      </w:r>
      <w:r w:rsidR="001D7E83">
        <w:rPr>
          <w:rFonts w:ascii="Times New Roman" w:eastAsia="Times New Roman" w:hAnsi="Times New Roman"/>
          <w:sz w:val="24"/>
          <w:szCs w:val="24"/>
          <w:lang w:eastAsia="el-GR"/>
        </w:rPr>
        <w:t xml:space="preserve">κλάδων </w:t>
      </w:r>
      <w:r w:rsidRPr="008652D7">
        <w:rPr>
          <w:rFonts w:ascii="Times New Roman" w:eastAsia="Times New Roman" w:hAnsi="Times New Roman"/>
          <w:sz w:val="24"/>
          <w:szCs w:val="24"/>
          <w:lang w:eastAsia="el-GR"/>
        </w:rPr>
        <w:t xml:space="preserve">που πλήττονται από την πανδημία έως τον Απρίλιο του 2021 και </w:t>
      </w:r>
      <w:r>
        <w:rPr>
          <w:rFonts w:ascii="Times New Roman" w:eastAsia="Times New Roman" w:hAnsi="Times New Roman"/>
          <w:sz w:val="24"/>
          <w:szCs w:val="24"/>
          <w:lang w:eastAsia="el-GR"/>
        </w:rPr>
        <w:t>τ</w:t>
      </w:r>
      <w:r w:rsidRPr="008652D7">
        <w:rPr>
          <w:rFonts w:ascii="Times New Roman" w:eastAsia="Times New Roman" w:hAnsi="Times New Roman"/>
          <w:sz w:val="24"/>
          <w:szCs w:val="24"/>
          <w:lang w:eastAsia="el-GR"/>
        </w:rPr>
        <w:t>η</w:t>
      </w:r>
      <w:r>
        <w:rPr>
          <w:rFonts w:ascii="Times New Roman" w:eastAsia="Times New Roman" w:hAnsi="Times New Roman"/>
          <w:sz w:val="24"/>
          <w:szCs w:val="24"/>
          <w:lang w:eastAsia="el-GR"/>
        </w:rPr>
        <w:t>ν</w:t>
      </w:r>
      <w:r w:rsidRPr="008652D7">
        <w:rPr>
          <w:rFonts w:ascii="Times New Roman" w:eastAsia="Times New Roman" w:hAnsi="Times New Roman"/>
          <w:sz w:val="24"/>
          <w:szCs w:val="24"/>
          <w:lang w:eastAsia="el-GR"/>
        </w:rPr>
        <w:t xml:space="preserve"> αναστολή πληρωμής του τέλους συνδρομητικής τηλεόρασης, με συνολικό κόστος 113 </w:t>
      </w:r>
      <w:r w:rsidR="008F24A5">
        <w:rPr>
          <w:rFonts w:ascii="Times New Roman" w:eastAsia="Times New Roman" w:hAnsi="Times New Roman"/>
          <w:sz w:val="24"/>
          <w:szCs w:val="24"/>
          <w:lang w:eastAsia="el-GR"/>
        </w:rPr>
        <w:t>εκατ.</w:t>
      </w:r>
      <w:r w:rsidRPr="008652D7">
        <w:rPr>
          <w:rFonts w:ascii="Times New Roman" w:eastAsia="Times New Roman" w:hAnsi="Times New Roman"/>
          <w:sz w:val="24"/>
          <w:szCs w:val="24"/>
          <w:lang w:eastAsia="el-GR"/>
        </w:rPr>
        <w:t xml:space="preserve"> ευρώ για το 2021.</w:t>
      </w:r>
    </w:p>
    <w:p w:rsidR="00914D7F" w:rsidRDefault="00914D7F" w:rsidP="00CD2D8A">
      <w:pPr>
        <w:jc w:val="both"/>
      </w:pPr>
    </w:p>
    <w:p w:rsidR="00CD2D8A" w:rsidRDefault="00CD2D8A" w:rsidP="00CD2D8A">
      <w:pPr>
        <w:jc w:val="both"/>
      </w:pPr>
      <w:r>
        <w:t xml:space="preserve">Παράλληλα, η </w:t>
      </w:r>
      <w:r w:rsidR="00914D7F">
        <w:t>καταβολή</w:t>
      </w:r>
      <w:r>
        <w:t xml:space="preserve"> αποζημιώσεων ειδικού σκοπού σε απασχολούμενους ή επιχειρήσεις που βρίσκονται</w:t>
      </w:r>
      <w:r w:rsidR="00914D7F">
        <w:t>,</w:t>
      </w:r>
      <w:r>
        <w:t xml:space="preserve"> είτε σε προσωρινή αναστολή εργασιών, είτε συμμετέχουν στο Πρόγραμμα ΣΥΝΕΡΓΑΣΙΑ κατά τα τέλη του 2020, </w:t>
      </w:r>
      <w:r w:rsidR="00914D7F">
        <w:t xml:space="preserve">αναμένεται </w:t>
      </w:r>
      <w:r>
        <w:t xml:space="preserve">να λάβει χώρα τον Ιανουάριο του 2021 και συνεπώς </w:t>
      </w:r>
      <w:r w:rsidRPr="00F521B2">
        <w:t xml:space="preserve">να επηρεάσει </w:t>
      </w:r>
      <w:r>
        <w:t>το δημοσιονομικό αποτέλεσμα του εν λόγω έτους.</w:t>
      </w:r>
    </w:p>
    <w:p w:rsidR="00914D7F" w:rsidRDefault="00914D7F" w:rsidP="00CD2D8A">
      <w:pPr>
        <w:jc w:val="both"/>
      </w:pPr>
    </w:p>
    <w:p w:rsidR="00CD2D8A" w:rsidRDefault="00914D7F" w:rsidP="00CD2D8A">
      <w:pPr>
        <w:jc w:val="both"/>
      </w:pPr>
      <w:r>
        <w:t>Επιπλέον</w:t>
      </w:r>
      <w:r w:rsidR="00CD2D8A">
        <w:t xml:space="preserve">, το δημοσιονομικό αποτέλεσμα του 2021 επηρεάζεται από την κάλυψη της μισθοδοσίας του έκτακτου υγειονομικού προσωπικού που προσλήφθηκε εντός του 2020 και του προσωπικού που προσλαμβάνεται για την κάλυψη των αναγκών των Μέσων Μαζικής Μεταφοράς. </w:t>
      </w:r>
    </w:p>
    <w:p w:rsidR="00CD2D8A" w:rsidRDefault="00CD2D8A" w:rsidP="00CD2D8A">
      <w:pPr>
        <w:jc w:val="both"/>
      </w:pPr>
    </w:p>
    <w:p w:rsidR="00CD2D8A" w:rsidRDefault="00CD2D8A" w:rsidP="00CD2D8A">
      <w:pPr>
        <w:jc w:val="both"/>
      </w:pPr>
      <w:r>
        <w:t>Πρέπει να τονιστεί ότι στο παρόν προσχέδιο του Προϋπολογισμού αποτυπώνονται οι ήδη νομοθετημένες ή αξιόπιστα εξαγγελθεί</w:t>
      </w:r>
      <w:r w:rsidR="00914D7F">
        <w:t>σες παρεμβάσεις. Συνεπώς, περαιτέ</w:t>
      </w:r>
      <w:r>
        <w:t>ρω επέκταση υφιστάμενων μέτρων ή υιοθέτηση νέων πολιτικών, αναλόγως και με την πορεία της πανδημίας, θα αποτυπωθούν στην Εισηγητική Έκθεση του Προϋπολογισμού 2021.</w:t>
      </w:r>
    </w:p>
    <w:p w:rsidR="00CD2D8A" w:rsidRDefault="00CD2D8A" w:rsidP="00CD2D8A">
      <w:pPr>
        <w:jc w:val="both"/>
      </w:pPr>
    </w:p>
    <w:p w:rsidR="00914D7F" w:rsidRDefault="00914D7F">
      <w:pPr>
        <w:rPr>
          <w:strike/>
          <w:sz w:val="26"/>
          <w:szCs w:val="22"/>
        </w:rPr>
      </w:pPr>
      <w:r>
        <w:rPr>
          <w:strike/>
          <w:sz w:val="26"/>
          <w:szCs w:val="22"/>
        </w:rPr>
        <w:br w:type="page"/>
      </w:r>
    </w:p>
    <w:p w:rsidR="00CD2D8A" w:rsidRPr="00D81FF9" w:rsidRDefault="00CD2D8A" w:rsidP="00CD2D8A">
      <w:pPr>
        <w:jc w:val="both"/>
        <w:rPr>
          <w:strike/>
          <w:sz w:val="26"/>
          <w:szCs w:val="22"/>
        </w:rPr>
      </w:pPr>
    </w:p>
    <w:tbl>
      <w:tblPr>
        <w:tblW w:w="9219" w:type="dxa"/>
        <w:tblLayout w:type="fixed"/>
        <w:tblCellMar>
          <w:left w:w="0" w:type="dxa"/>
        </w:tblCellMar>
        <w:tblLook w:val="04A0" w:firstRow="1" w:lastRow="0" w:firstColumn="1" w:lastColumn="0" w:noHBand="0" w:noVBand="1"/>
      </w:tblPr>
      <w:tblGrid>
        <w:gridCol w:w="147"/>
        <w:gridCol w:w="366"/>
        <w:gridCol w:w="7005"/>
        <w:gridCol w:w="103"/>
        <w:gridCol w:w="748"/>
        <w:gridCol w:w="67"/>
        <w:gridCol w:w="783"/>
      </w:tblGrid>
      <w:tr w:rsidR="00CD2D8A" w:rsidRPr="00172684" w:rsidTr="008F24A5">
        <w:trPr>
          <w:trHeight w:val="300"/>
          <w:tblHeader/>
        </w:trPr>
        <w:tc>
          <w:tcPr>
            <w:tcW w:w="9219" w:type="dxa"/>
            <w:gridSpan w:val="7"/>
            <w:tcBorders>
              <w:top w:val="single" w:sz="4" w:space="0" w:color="auto"/>
              <w:left w:val="single" w:sz="4" w:space="0" w:color="auto"/>
              <w:bottom w:val="single" w:sz="4" w:space="0" w:color="auto"/>
              <w:right w:val="single" w:sz="4" w:space="0" w:color="auto"/>
            </w:tcBorders>
            <w:shd w:val="clear" w:color="auto" w:fill="FFFFFF"/>
          </w:tcPr>
          <w:p w:rsidR="00CD2D8A" w:rsidRPr="00172684" w:rsidRDefault="00CD2D8A" w:rsidP="008F24A5">
            <w:pPr>
              <w:jc w:val="center"/>
              <w:rPr>
                <w:rFonts w:ascii="Arial Narrow" w:hAnsi="Arial Narrow"/>
                <w:b/>
                <w:bCs/>
              </w:rPr>
            </w:pPr>
            <w:r>
              <w:rPr>
                <w:rFonts w:ascii="Arial Narrow" w:hAnsi="Arial Narrow"/>
                <w:b/>
                <w:bCs/>
              </w:rPr>
              <w:t>Πίνακας 2.5</w:t>
            </w:r>
            <w:r w:rsidRPr="00172684">
              <w:rPr>
                <w:rFonts w:ascii="Arial Narrow" w:hAnsi="Arial Narrow"/>
                <w:b/>
                <w:bCs/>
              </w:rPr>
              <w:t xml:space="preserve"> Παρεμβάσεις για την αντιμετώπιση των συνεπειών της πανδημίας Covid-19</w:t>
            </w:r>
          </w:p>
          <w:p w:rsidR="00CD2D8A" w:rsidRPr="00172684" w:rsidRDefault="00CD2D8A" w:rsidP="008F24A5">
            <w:pPr>
              <w:jc w:val="center"/>
              <w:rPr>
                <w:rFonts w:ascii="Arial Narrow" w:hAnsi="Arial Narrow"/>
                <w:b/>
                <w:bCs/>
              </w:rPr>
            </w:pPr>
            <w:r w:rsidRPr="00172684">
              <w:rPr>
                <w:rFonts w:ascii="Arial Narrow" w:hAnsi="Arial Narrow"/>
                <w:b/>
                <w:bCs/>
              </w:rPr>
              <w:t>στην ελληνική οικονομία την περίοδο 2020-2021</w:t>
            </w:r>
          </w:p>
          <w:p w:rsidR="00CD2D8A" w:rsidRPr="00172684" w:rsidRDefault="00CD2D8A" w:rsidP="008F24A5">
            <w:pPr>
              <w:jc w:val="center"/>
              <w:rPr>
                <w:rFonts w:ascii="Arial Narrow" w:hAnsi="Arial Narrow" w:cs="Calibri"/>
                <w:b/>
                <w:bCs/>
                <w:color w:val="000000"/>
              </w:rPr>
            </w:pPr>
            <w:r w:rsidRPr="00172684">
              <w:rPr>
                <w:rFonts w:ascii="Arial Narrow" w:hAnsi="Arial Narrow"/>
                <w:b/>
                <w:bCs/>
              </w:rPr>
              <w:t>(</w:t>
            </w:r>
            <w:r w:rsidRPr="00172684">
              <w:rPr>
                <w:rFonts w:ascii="Arial Narrow" w:hAnsi="Arial Narrow"/>
                <w:b/>
                <w:iCs/>
              </w:rPr>
              <w:t>σε εκατ. ευρώ)</w:t>
            </w:r>
          </w:p>
        </w:tc>
      </w:tr>
      <w:tr w:rsidR="00CD2D8A" w:rsidRPr="00172684" w:rsidTr="008F24A5">
        <w:trPr>
          <w:trHeight w:val="300"/>
          <w:tblHeader/>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D8A" w:rsidRPr="00172684" w:rsidRDefault="00CD2D8A" w:rsidP="008F24A5">
            <w:pPr>
              <w:jc w:val="center"/>
              <w:rPr>
                <w:rFonts w:ascii="Arial Narrow" w:hAnsi="Arial Narrow" w:cs="Calibri"/>
                <w:b/>
                <w:color w:val="000000"/>
                <w:sz w:val="16"/>
                <w:szCs w:val="16"/>
              </w:rPr>
            </w:pPr>
            <w:r w:rsidRPr="00172684">
              <w:rPr>
                <w:rFonts w:ascii="Arial Narrow" w:hAnsi="Arial Narrow" w:cs="Calibri"/>
                <w:b/>
                <w:color w:val="000000"/>
                <w:sz w:val="16"/>
                <w:szCs w:val="16"/>
              </w:rPr>
              <w:t>α/α</w:t>
            </w:r>
          </w:p>
        </w:tc>
        <w:tc>
          <w:tcPr>
            <w:tcW w:w="7108" w:type="dxa"/>
            <w:gridSpan w:val="2"/>
            <w:tcBorders>
              <w:top w:val="single" w:sz="4" w:space="0" w:color="auto"/>
              <w:left w:val="single" w:sz="4" w:space="0" w:color="auto"/>
              <w:bottom w:val="single" w:sz="4" w:space="0" w:color="auto"/>
            </w:tcBorders>
            <w:shd w:val="clear" w:color="auto" w:fill="FFFFFF"/>
            <w:noWrap/>
            <w:vAlign w:val="center"/>
          </w:tcPr>
          <w:p w:rsidR="00CD2D8A" w:rsidRPr="00172684" w:rsidRDefault="00CD2D8A" w:rsidP="008F24A5">
            <w:pPr>
              <w:jc w:val="center"/>
              <w:rPr>
                <w:rFonts w:ascii="Arial Narrow" w:hAnsi="Arial Narrow" w:cs="Calibri"/>
                <w:b/>
                <w:bCs/>
                <w:color w:val="000000"/>
                <w:sz w:val="16"/>
                <w:szCs w:val="16"/>
              </w:rPr>
            </w:pPr>
            <w:r w:rsidRPr="00172684">
              <w:rPr>
                <w:rFonts w:ascii="Arial Narrow" w:hAnsi="Arial Narrow" w:cs="Calibri"/>
                <w:b/>
                <w:bCs/>
                <w:color w:val="000000"/>
                <w:sz w:val="16"/>
                <w:szCs w:val="16"/>
              </w:rPr>
              <w:t>Περιγραφή</w:t>
            </w:r>
          </w:p>
        </w:tc>
        <w:tc>
          <w:tcPr>
            <w:tcW w:w="815" w:type="dxa"/>
            <w:gridSpan w:val="2"/>
            <w:tcBorders>
              <w:top w:val="single" w:sz="4" w:space="0" w:color="auto"/>
              <w:bottom w:val="single" w:sz="4" w:space="0" w:color="auto"/>
            </w:tcBorders>
            <w:shd w:val="clear" w:color="auto" w:fill="FFFFFF"/>
            <w:noWrap/>
            <w:vAlign w:val="center"/>
          </w:tcPr>
          <w:p w:rsidR="00CD2D8A" w:rsidRPr="00172684" w:rsidRDefault="00CD2D8A" w:rsidP="008F24A5">
            <w:pPr>
              <w:jc w:val="center"/>
              <w:rPr>
                <w:rFonts w:ascii="Arial Narrow" w:hAnsi="Arial Narrow" w:cs="Calibri"/>
                <w:b/>
                <w:bCs/>
                <w:color w:val="000000"/>
                <w:sz w:val="16"/>
                <w:szCs w:val="16"/>
              </w:rPr>
            </w:pPr>
            <w:r w:rsidRPr="00172684">
              <w:rPr>
                <w:rFonts w:ascii="Arial Narrow" w:hAnsi="Arial Narrow" w:cs="Calibri"/>
                <w:b/>
                <w:bCs/>
                <w:color w:val="000000"/>
                <w:sz w:val="16"/>
                <w:szCs w:val="16"/>
              </w:rPr>
              <w:t>2020</w:t>
            </w:r>
          </w:p>
        </w:tc>
        <w:tc>
          <w:tcPr>
            <w:tcW w:w="783" w:type="dxa"/>
            <w:tcBorders>
              <w:top w:val="single" w:sz="4" w:space="0" w:color="auto"/>
              <w:bottom w:val="single" w:sz="4" w:space="0" w:color="auto"/>
              <w:right w:val="single" w:sz="4" w:space="0" w:color="auto"/>
            </w:tcBorders>
            <w:shd w:val="clear" w:color="auto" w:fill="FFFFFF"/>
            <w:noWrap/>
            <w:vAlign w:val="center"/>
          </w:tcPr>
          <w:p w:rsidR="00CD2D8A" w:rsidRPr="00172684" w:rsidRDefault="00CD2D8A" w:rsidP="008F24A5">
            <w:pPr>
              <w:jc w:val="center"/>
              <w:rPr>
                <w:rFonts w:ascii="Arial Narrow" w:hAnsi="Arial Narrow" w:cs="Calibri"/>
                <w:b/>
                <w:bCs/>
                <w:color w:val="000000"/>
                <w:sz w:val="16"/>
                <w:szCs w:val="16"/>
              </w:rPr>
            </w:pPr>
            <w:r w:rsidRPr="00172684">
              <w:rPr>
                <w:rFonts w:ascii="Arial Narrow" w:hAnsi="Arial Narrow" w:cs="Calibri"/>
                <w:b/>
                <w:bCs/>
                <w:color w:val="000000"/>
                <w:sz w:val="16"/>
                <w:szCs w:val="16"/>
              </w:rPr>
              <w:t>2021</w:t>
            </w:r>
          </w:p>
        </w:tc>
      </w:tr>
      <w:tr w:rsidR="00CD2D8A" w:rsidRPr="00261D58" w:rsidTr="008F24A5">
        <w:trPr>
          <w:trHeight w:val="20"/>
        </w:trPr>
        <w:tc>
          <w:tcPr>
            <w:tcW w:w="513" w:type="dxa"/>
            <w:gridSpan w:val="2"/>
            <w:tcBorders>
              <w:top w:val="single" w:sz="4" w:space="0" w:color="auto"/>
              <w:left w:val="single" w:sz="4" w:space="0" w:color="auto"/>
              <w:bottom w:val="single" w:sz="4" w:space="0" w:color="auto"/>
              <w:right w:val="nil"/>
            </w:tcBorders>
            <w:shd w:val="clear" w:color="D9D9D9" w:fill="D9D9D9"/>
            <w:vAlign w:val="center"/>
          </w:tcPr>
          <w:p w:rsidR="00CD2D8A" w:rsidRPr="00AF00AE" w:rsidRDefault="00CD2D8A" w:rsidP="008F24A5">
            <w:pPr>
              <w:jc w:val="center"/>
              <w:rPr>
                <w:rFonts w:ascii="Arial Narrow" w:hAnsi="Arial Narrow" w:cs="Calibri"/>
                <w:b/>
                <w:bCs/>
                <w:color w:val="000000"/>
                <w:sz w:val="16"/>
                <w:szCs w:val="16"/>
              </w:rPr>
            </w:pPr>
            <w:r w:rsidRPr="00AF00AE">
              <w:rPr>
                <w:rFonts w:ascii="Arial Narrow" w:hAnsi="Arial Narrow" w:cs="Calibri"/>
                <w:b/>
                <w:bCs/>
                <w:color w:val="000000"/>
                <w:sz w:val="16"/>
                <w:szCs w:val="16"/>
              </w:rPr>
              <w:t>Α</w:t>
            </w:r>
          </w:p>
        </w:tc>
        <w:tc>
          <w:tcPr>
            <w:tcW w:w="7108" w:type="dxa"/>
            <w:gridSpan w:val="2"/>
            <w:tcBorders>
              <w:top w:val="single" w:sz="4" w:space="0" w:color="auto"/>
              <w:left w:val="nil"/>
              <w:bottom w:val="single" w:sz="4" w:space="0" w:color="auto"/>
              <w:right w:val="nil"/>
            </w:tcBorders>
            <w:shd w:val="clear" w:color="D9D9D9" w:fill="D9D9D9"/>
            <w:noWrap/>
            <w:vAlign w:val="center"/>
            <w:hideMark/>
          </w:tcPr>
          <w:p w:rsidR="00CD2D8A" w:rsidRPr="00AF00AE" w:rsidRDefault="00CD2D8A" w:rsidP="008F24A5">
            <w:pPr>
              <w:rPr>
                <w:rFonts w:ascii="Arial Narrow" w:hAnsi="Arial Narrow"/>
                <w:b/>
                <w:bCs/>
                <w:color w:val="000000"/>
                <w:sz w:val="16"/>
                <w:szCs w:val="16"/>
              </w:rPr>
            </w:pPr>
            <w:r w:rsidRPr="00AF00AE">
              <w:rPr>
                <w:rFonts w:ascii="Arial Narrow" w:hAnsi="Arial Narrow"/>
                <w:b/>
                <w:bCs/>
                <w:color w:val="000000"/>
                <w:sz w:val="16"/>
                <w:szCs w:val="16"/>
              </w:rPr>
              <w:t>Παρεμβάσεις στο σκέλος των εσόδων της Γενικής Κυβέρνησης</w:t>
            </w:r>
          </w:p>
        </w:tc>
        <w:tc>
          <w:tcPr>
            <w:tcW w:w="815" w:type="dxa"/>
            <w:gridSpan w:val="2"/>
            <w:tcBorders>
              <w:top w:val="single" w:sz="4" w:space="0" w:color="auto"/>
              <w:left w:val="nil"/>
              <w:bottom w:val="single" w:sz="4" w:space="0" w:color="auto"/>
              <w:right w:val="nil"/>
            </w:tcBorders>
            <w:shd w:val="clear" w:color="D9D9D9" w:fill="D9D9D9"/>
            <w:noWrap/>
            <w:vAlign w:val="center"/>
          </w:tcPr>
          <w:p w:rsidR="00CD2D8A" w:rsidRPr="00AF00AE" w:rsidRDefault="00CD2D8A" w:rsidP="008F24A5">
            <w:pPr>
              <w:ind w:right="170"/>
              <w:jc w:val="right"/>
              <w:rPr>
                <w:rFonts w:ascii="Arial Narrow" w:hAnsi="Arial Narrow" w:cs="Calibri"/>
                <w:b/>
                <w:bCs/>
                <w:color w:val="000000"/>
                <w:sz w:val="16"/>
                <w:szCs w:val="16"/>
              </w:rPr>
            </w:pPr>
            <w:r w:rsidRPr="00AF00AE">
              <w:rPr>
                <w:rFonts w:ascii="Arial Narrow" w:hAnsi="Arial Narrow" w:cs="Calibri"/>
                <w:b/>
                <w:bCs/>
                <w:color w:val="000000"/>
                <w:sz w:val="16"/>
                <w:szCs w:val="16"/>
              </w:rPr>
              <w:t>-4.295</w:t>
            </w:r>
          </w:p>
        </w:tc>
        <w:tc>
          <w:tcPr>
            <w:tcW w:w="783" w:type="dxa"/>
            <w:tcBorders>
              <w:top w:val="single" w:sz="4" w:space="0" w:color="auto"/>
              <w:left w:val="nil"/>
              <w:bottom w:val="single" w:sz="4" w:space="0" w:color="auto"/>
              <w:right w:val="single" w:sz="4" w:space="0" w:color="auto"/>
            </w:tcBorders>
            <w:shd w:val="clear" w:color="D9D9D9" w:fill="D9D9D9"/>
            <w:noWrap/>
            <w:vAlign w:val="center"/>
          </w:tcPr>
          <w:p w:rsidR="00CD2D8A" w:rsidRPr="00AF00AE" w:rsidRDefault="00CD2D8A" w:rsidP="008F24A5">
            <w:pPr>
              <w:ind w:right="170"/>
              <w:jc w:val="right"/>
              <w:rPr>
                <w:rFonts w:ascii="Arial Narrow" w:hAnsi="Arial Narrow" w:cs="Calibri"/>
                <w:b/>
                <w:bCs/>
                <w:color w:val="000000"/>
                <w:sz w:val="16"/>
                <w:szCs w:val="16"/>
              </w:rPr>
            </w:pPr>
            <w:r w:rsidRPr="00AF00AE">
              <w:rPr>
                <w:rFonts w:ascii="Arial Narrow" w:hAnsi="Arial Narrow" w:cs="Calibri"/>
                <w:b/>
                <w:bCs/>
                <w:color w:val="000000"/>
                <w:sz w:val="16"/>
                <w:szCs w:val="16"/>
              </w:rPr>
              <w:t>-1.469</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1</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Μείωση κατά τρεις ποσοστιαίες μονάδες των ασφαλιστικών εισφορών των μισθωτών του </w:t>
            </w:r>
            <w:r>
              <w:rPr>
                <w:rFonts w:ascii="Arial Narrow" w:hAnsi="Arial Narrow"/>
                <w:color w:val="000000"/>
                <w:sz w:val="16"/>
                <w:szCs w:val="16"/>
              </w:rPr>
              <w:t>ι</w:t>
            </w:r>
            <w:r w:rsidRPr="00AF00AE">
              <w:rPr>
                <w:rFonts w:ascii="Arial Narrow" w:hAnsi="Arial Narrow"/>
                <w:color w:val="000000"/>
                <w:sz w:val="16"/>
                <w:szCs w:val="16"/>
              </w:rPr>
              <w:t>διωτικού τομέα.</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-816</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Αναστολή καταβολής Ειδικής Εισφοράς Αλληλεγγύης στον ιδιωτικό τομέα</w:t>
            </w:r>
            <w:r>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-767</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3</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414A7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Μείωση προκαταβολής φόρου εισοδήματος φυσικών και νομικών προσώπων σε ελεύθερους επαγγελματίες και επιχειρήσεις που επλήγησαν από την πανδημία C</w:t>
            </w:r>
            <w:proofErr w:type="spellStart"/>
            <w:r w:rsidRPr="00AF00AE">
              <w:rPr>
                <w:rFonts w:ascii="Arial Narrow" w:hAnsi="Arial Narrow"/>
                <w:color w:val="000000"/>
                <w:sz w:val="16"/>
                <w:szCs w:val="16"/>
                <w:lang w:val="en-US"/>
              </w:rPr>
              <w:t>ovid</w:t>
            </w:r>
            <w:proofErr w:type="spellEnd"/>
            <w:r w:rsidRPr="00AF00AE">
              <w:rPr>
                <w:rFonts w:ascii="Arial Narrow" w:hAnsi="Arial Narrow"/>
                <w:color w:val="000000"/>
                <w:sz w:val="16"/>
                <w:szCs w:val="16"/>
              </w:rPr>
              <w:t>-19</w:t>
            </w:r>
            <w:r w:rsidRPr="00414A7E">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-1.600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4</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Κάλυψη από </w:t>
            </w:r>
            <w:r>
              <w:rPr>
                <w:rFonts w:ascii="Arial Narrow" w:hAnsi="Arial Narrow"/>
                <w:color w:val="000000"/>
                <w:sz w:val="16"/>
                <w:szCs w:val="16"/>
              </w:rPr>
              <w:t>τον κρατικό προϋπολογισμό</w:t>
            </w:r>
            <w:r w:rsidRPr="00AF00AE">
              <w:rPr>
                <w:rFonts w:ascii="Arial Narrow" w:hAnsi="Arial Narrow"/>
                <w:color w:val="000000"/>
                <w:sz w:val="16"/>
                <w:szCs w:val="16"/>
              </w:rPr>
              <w:t xml:space="preserve"> των ασφαλιστικών εισφορών </w:t>
            </w:r>
            <w:r>
              <w:rPr>
                <w:rFonts w:ascii="Arial Narrow" w:hAnsi="Arial Narrow"/>
                <w:color w:val="000000"/>
                <w:sz w:val="16"/>
                <w:szCs w:val="16"/>
              </w:rPr>
              <w:t xml:space="preserve">επί του ονομαστικού μισθού, </w:t>
            </w:r>
            <w:r w:rsidRPr="00AF00AE">
              <w:rPr>
                <w:rFonts w:ascii="Arial Narrow" w:hAnsi="Arial Narrow"/>
                <w:color w:val="000000"/>
                <w:sz w:val="16"/>
                <w:szCs w:val="16"/>
              </w:rPr>
              <w:t xml:space="preserve">των εργαζομένων των οποίων οι συμβάσεις εργασίας </w:t>
            </w:r>
            <w:r>
              <w:rPr>
                <w:rFonts w:ascii="Arial Narrow" w:hAnsi="Arial Narrow"/>
                <w:color w:val="000000"/>
                <w:sz w:val="16"/>
                <w:szCs w:val="16"/>
              </w:rPr>
              <w:t>τίθενται</w:t>
            </w:r>
            <w:r w:rsidRPr="00AF00AE">
              <w:rPr>
                <w:rFonts w:ascii="Arial Narrow" w:hAnsi="Arial Narrow"/>
                <w:color w:val="000000"/>
                <w:sz w:val="16"/>
                <w:szCs w:val="16"/>
              </w:rPr>
              <w:t xml:space="preserve"> σε </w:t>
            </w:r>
            <w:r>
              <w:rPr>
                <w:rFonts w:ascii="Arial Narrow" w:hAnsi="Arial Narrow"/>
                <w:color w:val="000000"/>
                <w:sz w:val="16"/>
                <w:szCs w:val="16"/>
              </w:rPr>
              <w:t xml:space="preserve">προσωρινή </w:t>
            </w:r>
            <w:r w:rsidRPr="00AF00AE">
              <w:rPr>
                <w:rFonts w:ascii="Arial Narrow" w:hAnsi="Arial Narrow"/>
                <w:color w:val="000000"/>
                <w:sz w:val="16"/>
                <w:szCs w:val="16"/>
              </w:rPr>
              <w:t>αναστολή.</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-624</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-37</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5</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Κάλυψη από </w:t>
            </w:r>
            <w:r>
              <w:rPr>
                <w:rFonts w:ascii="Arial Narrow" w:hAnsi="Arial Narrow"/>
                <w:color w:val="000000"/>
                <w:sz w:val="16"/>
                <w:szCs w:val="16"/>
              </w:rPr>
              <w:t>τον κρατικό προϋπολογισμό</w:t>
            </w:r>
            <w:r w:rsidRPr="00AF00AE">
              <w:rPr>
                <w:rFonts w:ascii="Arial Narrow" w:hAnsi="Arial Narrow"/>
                <w:color w:val="000000"/>
                <w:sz w:val="16"/>
                <w:szCs w:val="16"/>
              </w:rPr>
              <w:t xml:space="preserve"> </w:t>
            </w:r>
            <w:r>
              <w:rPr>
                <w:rFonts w:ascii="Arial Narrow" w:hAnsi="Arial Narrow"/>
                <w:color w:val="000000"/>
                <w:sz w:val="16"/>
                <w:szCs w:val="16"/>
              </w:rPr>
              <w:t xml:space="preserve">των εργοδοτικών </w:t>
            </w:r>
            <w:r w:rsidRPr="00AF00AE">
              <w:rPr>
                <w:rFonts w:ascii="Arial Narrow" w:hAnsi="Arial Narrow"/>
                <w:color w:val="000000"/>
                <w:sz w:val="16"/>
                <w:szCs w:val="16"/>
              </w:rPr>
              <w:t>ασφαλιστικών εισφορών των υπαλλήλων των εποχικών επιχειρήσεων.</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-240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6</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Αναστολή πληρωμών ΦΠΑ σε επιχειρήσεις, αυτοαπασχολούμενους και </w:t>
            </w:r>
            <w:r>
              <w:rPr>
                <w:rFonts w:ascii="Arial Narrow" w:hAnsi="Arial Narrow"/>
                <w:color w:val="000000"/>
                <w:sz w:val="16"/>
                <w:szCs w:val="16"/>
              </w:rPr>
              <w:t>ελεύθερους επαγγελματίες.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-512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154</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7</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Αναστολή πληρωμών των </w:t>
            </w:r>
            <w:r>
              <w:rPr>
                <w:rFonts w:ascii="Arial Narrow" w:hAnsi="Arial Narrow"/>
                <w:color w:val="000000"/>
                <w:sz w:val="16"/>
                <w:szCs w:val="16"/>
              </w:rPr>
              <w:t xml:space="preserve">τρεχουσών </w:t>
            </w:r>
            <w:r w:rsidRPr="00AF00AE">
              <w:rPr>
                <w:rFonts w:ascii="Arial Narrow" w:hAnsi="Arial Narrow"/>
                <w:color w:val="000000"/>
                <w:sz w:val="16"/>
                <w:szCs w:val="16"/>
              </w:rPr>
              <w:t xml:space="preserve">ασφαλιστικών εισφορών για επιχειρήσεις, αυτοαπασχολούμενους και </w:t>
            </w:r>
            <w:r>
              <w:rPr>
                <w:rFonts w:ascii="Arial Narrow" w:hAnsi="Arial Narrow"/>
                <w:color w:val="000000"/>
                <w:sz w:val="16"/>
                <w:szCs w:val="16"/>
              </w:rPr>
              <w:t>ελεύθερους επαγγελματίες.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-315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95</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8</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Αναστολή πληρωμών βεβαιωμένων οφειλών</w:t>
            </w:r>
            <w:r>
              <w:rPr>
                <w:rFonts w:ascii="Arial Narrow" w:hAnsi="Arial Narrow"/>
                <w:color w:val="000000"/>
                <w:sz w:val="16"/>
                <w:szCs w:val="16"/>
              </w:rPr>
              <w:t xml:space="preserve"> και δόσεων ρυθμίσεων</w:t>
            </w:r>
            <w:r w:rsidRPr="00AF00AE">
              <w:rPr>
                <w:rFonts w:ascii="Arial Narrow" w:hAnsi="Arial Narrow"/>
                <w:color w:val="000000"/>
                <w:sz w:val="16"/>
                <w:szCs w:val="16"/>
              </w:rPr>
              <w:t xml:space="preserve"> φορολογικών υποχρεώσεων για επιχειρήσεις, αυτοαπασχολούμενους, </w:t>
            </w:r>
            <w:r>
              <w:rPr>
                <w:rFonts w:ascii="Arial Narrow" w:hAnsi="Arial Narrow"/>
                <w:color w:val="000000"/>
                <w:sz w:val="16"/>
                <w:szCs w:val="16"/>
              </w:rPr>
              <w:t>εργαζόμενους</w:t>
            </w:r>
            <w:r w:rsidRPr="00AF00AE">
              <w:rPr>
                <w:rFonts w:ascii="Arial Narrow" w:hAnsi="Arial Narrow"/>
                <w:color w:val="000000"/>
                <w:sz w:val="16"/>
                <w:szCs w:val="16"/>
              </w:rPr>
              <w:t xml:space="preserve"> και </w:t>
            </w:r>
            <w:r>
              <w:rPr>
                <w:rFonts w:ascii="Arial Narrow" w:hAnsi="Arial Narrow"/>
                <w:color w:val="000000"/>
                <w:sz w:val="16"/>
                <w:szCs w:val="16"/>
              </w:rPr>
              <w:t>ελεύθερους επαγγελματίες.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-173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52</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9</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Αναστολή πληρωμών</w:t>
            </w:r>
            <w:r>
              <w:rPr>
                <w:rFonts w:ascii="Arial Narrow" w:hAnsi="Arial Narrow"/>
                <w:color w:val="000000"/>
                <w:sz w:val="16"/>
                <w:szCs w:val="16"/>
              </w:rPr>
              <w:t xml:space="preserve"> δόσεων</w:t>
            </w:r>
            <w:r w:rsidRPr="00AF00AE">
              <w:rPr>
                <w:rFonts w:ascii="Arial Narrow" w:hAnsi="Arial Narrow"/>
                <w:color w:val="000000"/>
                <w:sz w:val="16"/>
                <w:szCs w:val="16"/>
              </w:rPr>
              <w:t xml:space="preserve"> </w:t>
            </w:r>
            <w:r>
              <w:rPr>
                <w:rFonts w:ascii="Arial Narrow" w:hAnsi="Arial Narrow"/>
                <w:color w:val="000000"/>
                <w:sz w:val="16"/>
                <w:szCs w:val="16"/>
              </w:rPr>
              <w:t xml:space="preserve">ρυθμίσεων οφειλών προς τα ασφαλιστικά ταμεία για επιχειρήσεις, αυτοαπασχολούμενους και ελεύθερους επαγγελματίες. </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D51574">
              <w:rPr>
                <w:rFonts w:ascii="Arial Narrow" w:hAnsi="Arial Narrow" w:cs="Calibri"/>
                <w:color w:val="000000"/>
                <w:sz w:val="16"/>
                <w:szCs w:val="16"/>
              </w:rPr>
              <w:t>-193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D51574">
              <w:rPr>
                <w:rFonts w:ascii="Arial Narrow" w:hAnsi="Arial Narrow" w:cs="Calibri"/>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1</w:t>
            </w:r>
            <w:r>
              <w:rPr>
                <w:rFonts w:ascii="Arial Narrow" w:hAnsi="Arial Narrow" w:cs="Calibri"/>
                <w:color w:val="000000"/>
                <w:sz w:val="16"/>
                <w:szCs w:val="16"/>
              </w:rPr>
              <w:t>0</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Αναστολή πληρωμής φορολογικών υποχρεώσεων για τους ιδιοκτήτες ακινήτων που έλαβαν μειωμένο ενοίκιο</w:t>
            </w:r>
            <w:r>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lang w:val="en-US"/>
              </w:rPr>
              <w:t>-10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lang w:val="en-US"/>
              </w:rPr>
              <w:t>5</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11</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olor w:val="000000"/>
                <w:sz w:val="16"/>
                <w:szCs w:val="16"/>
              </w:rPr>
              <w:t>Συμψηφισμός κατά 25% μ</w:t>
            </w:r>
            <w:r w:rsidRPr="00AF00AE">
              <w:rPr>
                <w:rFonts w:ascii="Arial Narrow" w:hAnsi="Arial Narrow"/>
                <w:color w:val="000000"/>
                <w:sz w:val="16"/>
                <w:szCs w:val="16"/>
              </w:rPr>
              <w:t xml:space="preserve">ε μελλοντικές φορολογικές υποχρεώσεις </w:t>
            </w:r>
            <w:r>
              <w:rPr>
                <w:rFonts w:ascii="Arial Narrow" w:hAnsi="Arial Narrow"/>
                <w:color w:val="000000"/>
                <w:sz w:val="16"/>
                <w:szCs w:val="16"/>
              </w:rPr>
              <w:t>της εμπρόθεσμης καταβολής ΦΠΑ.</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rPr>
              <w:t>-154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12</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Έκπτωση κατά 25% στις ρυθμισμένες φορολογικές και ασφαλιστικές οφειλές που </w:t>
            </w:r>
            <w:r>
              <w:rPr>
                <w:rFonts w:ascii="Arial Narrow" w:hAnsi="Arial Narrow"/>
                <w:color w:val="000000"/>
                <w:sz w:val="16"/>
                <w:szCs w:val="16"/>
              </w:rPr>
              <w:t>πληρώθηκαν</w:t>
            </w:r>
            <w:r w:rsidRPr="00AF00AE">
              <w:rPr>
                <w:rFonts w:ascii="Arial Narrow" w:hAnsi="Arial Narrow"/>
                <w:color w:val="000000"/>
                <w:sz w:val="16"/>
                <w:szCs w:val="16"/>
              </w:rPr>
              <w:t xml:space="preserve"> εμπρόθεσμα, από εργαζόμενους εταιρειών που επλήγησαν από την πανδημία καθώς και από επιχειρήσεις, ελεύθερους επαγγελματίες και  αυτοαπασχολούμενους.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-101</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13</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Μη καταβολή δημοτικών τελών για επιχειρήσεις των οποίων η λειτουργία ανεστάλη με κρατική εντολή λόγω της πανδημίας </w:t>
            </w:r>
            <w:proofErr w:type="spellStart"/>
            <w:r w:rsidRPr="00AF00AE">
              <w:rPr>
                <w:rFonts w:ascii="Arial Narrow" w:hAnsi="Arial Narrow"/>
                <w:color w:val="000000"/>
                <w:sz w:val="16"/>
                <w:szCs w:val="16"/>
                <w:lang w:val="en-US"/>
              </w:rPr>
              <w:t>Covid</w:t>
            </w:r>
            <w:proofErr w:type="spellEnd"/>
            <w:r w:rsidRPr="00AF00AE">
              <w:rPr>
                <w:rFonts w:ascii="Arial Narrow" w:hAnsi="Arial Narrow"/>
                <w:color w:val="000000"/>
                <w:sz w:val="16"/>
                <w:szCs w:val="16"/>
              </w:rPr>
              <w:t>-19.</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-110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14</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Μείωση συντελεστή ΦΠΑ στις υπηρεσίες μεταφοράς προσώπων και των αποσκευών </w:t>
            </w:r>
            <w:r>
              <w:rPr>
                <w:rFonts w:ascii="Arial Narrow" w:hAnsi="Arial Narrow"/>
                <w:color w:val="000000"/>
                <w:sz w:val="16"/>
                <w:szCs w:val="16"/>
              </w:rPr>
              <w:t>τους.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-94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-54</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15</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Μείωση συντελεστή ΦΠΑ σε μη αλκοολούχα ποτά και σε υπηρεσίες διάθεσης μη αλκοολούχων ποτών και ροφημάτων</w:t>
            </w:r>
            <w:r>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-67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-38</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16</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Μείωση συντελεστή ΦΠΑ στα εισιτήρια κινηματογράφων, θεατρικών παραστάσεων και συναυλιών</w:t>
            </w:r>
            <w:r>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-11</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-6</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17</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Μείωση συντελεστή ΦΠΑ στο τουριστικό πακέτο από 80/20 σε 90/10</w:t>
            </w:r>
            <w:r>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18</w:t>
            </w:r>
          </w:p>
        </w:tc>
        <w:tc>
          <w:tcPr>
            <w:tcW w:w="7108" w:type="dxa"/>
            <w:gridSpan w:val="2"/>
            <w:tcBorders>
              <w:top w:val="single" w:sz="4" w:space="0" w:color="auto"/>
              <w:left w:val="nil"/>
              <w:bottom w:val="single" w:sz="4" w:space="0" w:color="auto"/>
              <w:right w:val="nil"/>
            </w:tcBorders>
            <w:shd w:val="clear" w:color="auto" w:fill="auto"/>
            <w:noWrap/>
            <w:vAlign w:val="bottom"/>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Μείωση συντελεστή ΦΠΑ από 24% σε 6%, για προϊόντα και παρασκευάσματα ατομικής υγιεινής (μάσκες, γάντια κλπ.).</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19</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olor w:val="000000"/>
                <w:sz w:val="16"/>
                <w:szCs w:val="16"/>
              </w:rPr>
              <w:t xml:space="preserve">Αναστολή </w:t>
            </w:r>
            <w:r>
              <w:rPr>
                <w:rFonts w:ascii="Arial Narrow" w:hAnsi="Arial Narrow"/>
                <w:color w:val="000000"/>
                <w:sz w:val="16"/>
                <w:szCs w:val="16"/>
              </w:rPr>
              <w:t xml:space="preserve">πληρωμής </w:t>
            </w:r>
            <w:r w:rsidRPr="00AF00AE">
              <w:rPr>
                <w:rFonts w:ascii="Arial Narrow" w:hAnsi="Arial Narrow"/>
                <w:color w:val="000000"/>
                <w:sz w:val="16"/>
                <w:szCs w:val="16"/>
              </w:rPr>
              <w:t>τέλους συνδρομητικής τηλεόρασης</w:t>
            </w:r>
            <w:r>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-14</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20</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Έκπτωση φόρου, για εκμισθωτές ακινήτων που έλαβαν μειωμένο μίσθωμα λόγω της πανδημίας.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-77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21</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olor w:val="000000"/>
                <w:sz w:val="16"/>
                <w:szCs w:val="16"/>
              </w:rPr>
              <w:t>Απώλεια εσόδων ΕΤΑΔ και ΟΤΑ από την μ</w:t>
            </w:r>
            <w:r w:rsidRPr="00AF00AE">
              <w:rPr>
                <w:rFonts w:ascii="Arial Narrow" w:hAnsi="Arial Narrow"/>
                <w:color w:val="000000"/>
                <w:sz w:val="16"/>
                <w:szCs w:val="16"/>
              </w:rPr>
              <w:t>είωση κατά 40% για επαγγελματικές μισθώσεις επιχειρήσεων που επλήγησαν από την πανδημία Covid-19</w:t>
            </w:r>
            <w:r>
              <w:rPr>
                <w:rFonts w:ascii="Arial Narrow" w:hAnsi="Arial Narrow"/>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rPr>
              <w:t>-9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8B343F" w:rsidRDefault="00CD2D8A" w:rsidP="008F24A5">
            <w:pPr>
              <w:jc w:val="center"/>
              <w:rPr>
                <w:rFonts w:ascii="Arial Narrow" w:hAnsi="Arial Narrow" w:cs="Calibri"/>
                <w:color w:val="000000"/>
                <w:sz w:val="16"/>
                <w:szCs w:val="16"/>
                <w:lang w:val="en-US"/>
              </w:rPr>
            </w:pPr>
            <w:r w:rsidRPr="00AF00AE">
              <w:rPr>
                <w:rFonts w:ascii="Arial Narrow" w:hAnsi="Arial Narrow" w:cs="Calibri"/>
                <w:color w:val="000000"/>
                <w:sz w:val="16"/>
                <w:szCs w:val="16"/>
              </w:rPr>
              <w:t>2</w:t>
            </w:r>
            <w:r>
              <w:rPr>
                <w:rFonts w:ascii="Arial Narrow" w:hAnsi="Arial Narrow" w:cs="Calibri"/>
                <w:color w:val="000000"/>
                <w:sz w:val="16"/>
                <w:szCs w:val="16"/>
              </w:rPr>
              <w:t>2</w:t>
            </w:r>
          </w:p>
        </w:tc>
        <w:tc>
          <w:tcPr>
            <w:tcW w:w="7108" w:type="dxa"/>
            <w:gridSpan w:val="2"/>
            <w:tcBorders>
              <w:top w:val="single" w:sz="4" w:space="0" w:color="auto"/>
              <w:left w:val="nil"/>
              <w:bottom w:val="single" w:sz="4" w:space="0" w:color="auto"/>
              <w:right w:val="nil"/>
            </w:tcBorders>
            <w:shd w:val="clear" w:color="auto" w:fill="auto"/>
            <w:noWrap/>
            <w:vAlign w:val="bottom"/>
          </w:tcPr>
          <w:p w:rsidR="00CD2D8A" w:rsidRPr="00AF00AE" w:rsidRDefault="00CD2D8A" w:rsidP="008F24A5">
            <w:pPr>
              <w:jc w:val="both"/>
              <w:rPr>
                <w:rFonts w:ascii="Arial Narrow" w:hAnsi="Arial Narrow"/>
                <w:color w:val="000000"/>
                <w:sz w:val="16"/>
                <w:szCs w:val="16"/>
              </w:rPr>
            </w:pPr>
            <w:r>
              <w:rPr>
                <w:rFonts w:ascii="Arial Narrow" w:hAnsi="Arial Narrow"/>
                <w:color w:val="000000"/>
                <w:sz w:val="16"/>
                <w:szCs w:val="16"/>
              </w:rPr>
              <w:t>Απώλεια φορολογικών εσόδων από την μ</w:t>
            </w:r>
            <w:r w:rsidRPr="00AF00AE">
              <w:rPr>
                <w:rFonts w:ascii="Arial Narrow" w:hAnsi="Arial Narrow"/>
                <w:color w:val="000000"/>
                <w:sz w:val="16"/>
                <w:szCs w:val="16"/>
              </w:rPr>
              <w:t xml:space="preserve">είωση 40% στις μισθώσεις κύριας κατοικίας εργαζομένων των οποίων η σύμβαση εργασίας είναι σε αναστολή, στις μισθώσεις για την κάλυψη στεγαστικών αναγκών φοιτητών που είναι τέκνα/εξαρτημένα μέλη των ως άνω, καθώς και στις επαγγελματικές μισθώσεις επιχειρήσεων. </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-41</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shd w:val="clear" w:color="D9D9D9" w:fill="D9D9D9"/>
            <w:vAlign w:val="center"/>
          </w:tcPr>
          <w:p w:rsidR="00CD2D8A" w:rsidRPr="00AF00AE" w:rsidRDefault="00CD2D8A" w:rsidP="008F24A5">
            <w:pPr>
              <w:jc w:val="center"/>
              <w:rPr>
                <w:rFonts w:ascii="Arial Narrow" w:hAnsi="Arial Narrow" w:cs="Calibri"/>
                <w:b/>
                <w:bCs/>
                <w:color w:val="000000"/>
                <w:sz w:val="16"/>
                <w:szCs w:val="16"/>
              </w:rPr>
            </w:pPr>
            <w:r w:rsidRPr="00AF00AE">
              <w:rPr>
                <w:rFonts w:ascii="Arial Narrow" w:hAnsi="Arial Narrow" w:cs="Calibri"/>
                <w:b/>
                <w:bCs/>
                <w:color w:val="000000"/>
                <w:sz w:val="16"/>
                <w:szCs w:val="16"/>
              </w:rPr>
              <w:t>Β</w:t>
            </w:r>
          </w:p>
        </w:tc>
        <w:tc>
          <w:tcPr>
            <w:tcW w:w="7108" w:type="dxa"/>
            <w:gridSpan w:val="2"/>
            <w:tcBorders>
              <w:top w:val="single" w:sz="4" w:space="0" w:color="auto"/>
              <w:left w:val="nil"/>
              <w:bottom w:val="single" w:sz="4" w:space="0" w:color="auto"/>
              <w:right w:val="nil"/>
            </w:tcBorders>
            <w:shd w:val="clear" w:color="D9D9D9" w:fill="D9D9D9"/>
            <w:noWrap/>
            <w:vAlign w:val="center"/>
            <w:hideMark/>
          </w:tcPr>
          <w:p w:rsidR="00CD2D8A" w:rsidRPr="00AF00AE" w:rsidRDefault="00CD2D8A" w:rsidP="008F24A5">
            <w:pPr>
              <w:jc w:val="both"/>
              <w:rPr>
                <w:rFonts w:ascii="Arial Narrow" w:hAnsi="Arial Narrow" w:cs="Calibri"/>
                <w:b/>
                <w:bCs/>
                <w:color w:val="000000"/>
                <w:sz w:val="16"/>
                <w:szCs w:val="16"/>
              </w:rPr>
            </w:pPr>
            <w:r w:rsidRPr="00AF00AE">
              <w:rPr>
                <w:rFonts w:ascii="Arial Narrow" w:hAnsi="Arial Narrow" w:cs="Calibri"/>
                <w:b/>
                <w:bCs/>
                <w:color w:val="000000"/>
                <w:sz w:val="16"/>
                <w:szCs w:val="16"/>
              </w:rPr>
              <w:t>Παρεμβάσεις στο σκέλος των δαπανών της Γενικής Κυβέρνησης</w:t>
            </w:r>
          </w:p>
        </w:tc>
        <w:tc>
          <w:tcPr>
            <w:tcW w:w="815" w:type="dxa"/>
            <w:gridSpan w:val="2"/>
            <w:tcBorders>
              <w:top w:val="single" w:sz="4" w:space="0" w:color="auto"/>
              <w:left w:val="nil"/>
              <w:bottom w:val="single" w:sz="4" w:space="0" w:color="auto"/>
              <w:right w:val="nil"/>
            </w:tcBorders>
            <w:shd w:val="clear" w:color="D9D9D9" w:fill="D9D9D9"/>
            <w:noWrap/>
            <w:vAlign w:val="center"/>
          </w:tcPr>
          <w:p w:rsidR="00CD2D8A" w:rsidRPr="00AF00AE" w:rsidRDefault="00CD2D8A" w:rsidP="008F24A5">
            <w:pPr>
              <w:ind w:right="170"/>
              <w:jc w:val="right"/>
              <w:rPr>
                <w:rFonts w:ascii="Arial Narrow" w:hAnsi="Arial Narrow" w:cs="Calibri"/>
                <w:b/>
                <w:bCs/>
                <w:color w:val="000000"/>
                <w:sz w:val="16"/>
                <w:szCs w:val="16"/>
              </w:rPr>
            </w:pPr>
            <w:r w:rsidRPr="00AF00AE">
              <w:rPr>
                <w:rFonts w:ascii="Arial Narrow" w:hAnsi="Arial Narrow" w:cs="Calibri"/>
                <w:b/>
                <w:bCs/>
                <w:color w:val="000000"/>
                <w:sz w:val="16"/>
                <w:szCs w:val="16"/>
              </w:rPr>
              <w:t>-8.702</w:t>
            </w:r>
          </w:p>
        </w:tc>
        <w:tc>
          <w:tcPr>
            <w:tcW w:w="783" w:type="dxa"/>
            <w:tcBorders>
              <w:top w:val="single" w:sz="4" w:space="0" w:color="auto"/>
              <w:left w:val="nil"/>
              <w:bottom w:val="single" w:sz="4" w:space="0" w:color="auto"/>
              <w:right w:val="single" w:sz="4" w:space="0" w:color="auto"/>
            </w:tcBorders>
            <w:shd w:val="clear" w:color="D9D9D9" w:fill="D9D9D9"/>
            <w:noWrap/>
            <w:vAlign w:val="center"/>
          </w:tcPr>
          <w:p w:rsidR="00CD2D8A" w:rsidRPr="00AF00AE" w:rsidRDefault="00CD2D8A" w:rsidP="008F24A5">
            <w:pPr>
              <w:ind w:right="170"/>
              <w:jc w:val="right"/>
              <w:rPr>
                <w:rFonts w:ascii="Arial Narrow" w:hAnsi="Arial Narrow" w:cs="Calibri"/>
                <w:b/>
                <w:bCs/>
                <w:color w:val="000000"/>
                <w:sz w:val="16"/>
                <w:szCs w:val="16"/>
              </w:rPr>
            </w:pPr>
            <w:r w:rsidRPr="001D7E83">
              <w:rPr>
                <w:rFonts w:ascii="Arial Narrow" w:hAnsi="Arial Narrow" w:cs="Calibri"/>
                <w:b/>
                <w:bCs/>
                <w:color w:val="000000"/>
                <w:sz w:val="16"/>
                <w:szCs w:val="16"/>
              </w:rPr>
              <w:t>-913</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1</w:t>
            </w:r>
          </w:p>
        </w:tc>
        <w:tc>
          <w:tcPr>
            <w:tcW w:w="7108"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Χρηματοδότηση επιχειρήσεων με τη μορφή επιστρεπτέας προκαταβολής</w:t>
            </w:r>
            <w:r>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-3.961</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olor w:val="000000"/>
                <w:sz w:val="16"/>
                <w:szCs w:val="16"/>
              </w:rPr>
              <w:t>Κάλυψη</w:t>
            </w:r>
            <w:r w:rsidRPr="00AF00AE">
              <w:rPr>
                <w:rFonts w:ascii="Arial Narrow" w:hAnsi="Arial Narrow"/>
                <w:color w:val="000000"/>
                <w:sz w:val="16"/>
                <w:szCs w:val="16"/>
              </w:rPr>
              <w:t xml:space="preserve"> των ασφαλιστικών εισφορών</w:t>
            </w:r>
            <w:r>
              <w:rPr>
                <w:rFonts w:ascii="Arial Narrow" w:hAnsi="Arial Narrow"/>
                <w:color w:val="000000"/>
                <w:sz w:val="16"/>
                <w:szCs w:val="16"/>
              </w:rPr>
              <w:t xml:space="preserve"> από τον κρατικό προϋπολογισμό και επιδότηση 200 ευρώ σε περίπτωση πρόσληψης μακροχρόνια ανέργου,</w:t>
            </w:r>
            <w:r w:rsidRPr="00AF00AE">
              <w:rPr>
                <w:rFonts w:ascii="Arial Narrow" w:hAnsi="Arial Narrow"/>
                <w:color w:val="000000"/>
                <w:sz w:val="16"/>
                <w:szCs w:val="16"/>
              </w:rPr>
              <w:t xml:space="preserve"> για περίοδο 6 μηνών</w:t>
            </w:r>
            <w:r>
              <w:rPr>
                <w:rFonts w:ascii="Arial Narrow" w:hAnsi="Arial Narrow"/>
                <w:color w:val="000000"/>
                <w:sz w:val="16"/>
                <w:szCs w:val="16"/>
              </w:rPr>
              <w:t>,</w:t>
            </w:r>
            <w:r w:rsidRPr="00AF00AE">
              <w:rPr>
                <w:rFonts w:ascii="Arial Narrow" w:hAnsi="Arial Narrow"/>
                <w:color w:val="000000"/>
                <w:sz w:val="16"/>
                <w:szCs w:val="16"/>
              </w:rPr>
              <w:t xml:space="preserve"> στο πλαίσιο του προγράμματος για τη δημιουργία 100.000 νέων θέσεων εργασίας.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rPr>
              <w:t>-81</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olor w:val="000000"/>
                <w:sz w:val="16"/>
                <w:szCs w:val="16"/>
              </w:rPr>
              <w:t>-302</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3</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Πρόγραμμα ΓΕΦΥΡΑ που αφορά στην επιδότηση της πρώτης κατοικίας για δανειολήπτες που επλήγησαν από την πανδημία C</w:t>
            </w:r>
            <w:proofErr w:type="spellStart"/>
            <w:r w:rsidRPr="00AF00AE">
              <w:rPr>
                <w:rFonts w:ascii="Arial Narrow" w:hAnsi="Arial Narrow" w:cs="Calibri"/>
                <w:color w:val="000000"/>
                <w:sz w:val="16"/>
                <w:szCs w:val="16"/>
                <w:lang w:val="en-US"/>
              </w:rPr>
              <w:t>ovid</w:t>
            </w:r>
            <w:proofErr w:type="spellEnd"/>
            <w:r w:rsidRPr="00AF00AE">
              <w:rPr>
                <w:rFonts w:ascii="Arial Narrow" w:hAnsi="Arial Narrow" w:cs="Calibri"/>
                <w:color w:val="000000"/>
                <w:sz w:val="16"/>
                <w:szCs w:val="16"/>
              </w:rPr>
              <w:t>-19.</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rPr>
              <w:t>-108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rPr>
              <w:t>-280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4</w:t>
            </w:r>
          </w:p>
        </w:tc>
        <w:tc>
          <w:tcPr>
            <w:tcW w:w="7108"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Α</w:t>
            </w:r>
            <w:r w:rsidRPr="00AF00AE">
              <w:rPr>
                <w:rFonts w:ascii="Arial Narrow" w:hAnsi="Arial Narrow" w:cs="Calibri"/>
                <w:color w:val="000000"/>
                <w:sz w:val="16"/>
                <w:szCs w:val="16"/>
              </w:rPr>
              <w:t>ποζημίωση</w:t>
            </w:r>
            <w:r>
              <w:rPr>
                <w:rFonts w:ascii="Arial Narrow" w:hAnsi="Arial Narrow" w:cs="Calibri"/>
                <w:color w:val="000000"/>
                <w:sz w:val="16"/>
                <w:szCs w:val="16"/>
              </w:rPr>
              <w:t xml:space="preserve"> ειδικού σκοπού</w:t>
            </w:r>
            <w:r w:rsidRPr="00AF00AE">
              <w:rPr>
                <w:rFonts w:ascii="Arial Narrow" w:hAnsi="Arial Narrow" w:cs="Calibri"/>
                <w:color w:val="000000"/>
                <w:sz w:val="16"/>
                <w:szCs w:val="16"/>
              </w:rPr>
              <w:t xml:space="preserve"> ύψους 534 ευρώ </w:t>
            </w:r>
            <w:r>
              <w:rPr>
                <w:rFonts w:ascii="Arial Narrow" w:hAnsi="Arial Narrow" w:cs="Calibri"/>
                <w:color w:val="000000"/>
                <w:sz w:val="16"/>
                <w:szCs w:val="16"/>
              </w:rPr>
              <w:t xml:space="preserve">σε μηναία βάση </w:t>
            </w:r>
            <w:r w:rsidRPr="00DB0148">
              <w:rPr>
                <w:rFonts w:ascii="Arial Narrow" w:hAnsi="Arial Narrow" w:cs="Calibri"/>
                <w:color w:val="000000"/>
                <w:sz w:val="16"/>
                <w:szCs w:val="16"/>
              </w:rPr>
              <w:t xml:space="preserve">των εργαζομένων των οποίων οι συμβάσεις εργασίας έχουν </w:t>
            </w:r>
            <w:r>
              <w:rPr>
                <w:rFonts w:ascii="Arial Narrow" w:hAnsi="Arial Narrow" w:cs="Calibri"/>
                <w:color w:val="000000"/>
                <w:sz w:val="16"/>
                <w:szCs w:val="16"/>
              </w:rPr>
              <w:t>τίθενται</w:t>
            </w:r>
            <w:r w:rsidRPr="00DB0148">
              <w:rPr>
                <w:rFonts w:ascii="Arial Narrow" w:hAnsi="Arial Narrow" w:cs="Calibri"/>
                <w:color w:val="000000"/>
                <w:sz w:val="16"/>
                <w:szCs w:val="16"/>
              </w:rPr>
              <w:t xml:space="preserve"> σε προσωρινή αναστολή.</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-1.257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-72</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5</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 xml:space="preserve">Κάλυψη από τον κρατικό προϋπολογισμό </w:t>
            </w:r>
            <w:r w:rsidRPr="00AF00AE">
              <w:rPr>
                <w:rFonts w:ascii="Arial Narrow" w:hAnsi="Arial Narrow" w:cs="Calibri"/>
                <w:color w:val="000000"/>
                <w:sz w:val="16"/>
                <w:szCs w:val="16"/>
              </w:rPr>
              <w:t>το</w:t>
            </w:r>
            <w:r>
              <w:rPr>
                <w:rFonts w:ascii="Arial Narrow" w:hAnsi="Arial Narrow" w:cs="Calibri"/>
                <w:color w:val="000000"/>
                <w:sz w:val="16"/>
                <w:szCs w:val="16"/>
              </w:rPr>
              <w:t xml:space="preserve">υ μέρους του δώρου Πάσχα </w:t>
            </w:r>
            <w:r w:rsidRPr="00AF00AE">
              <w:rPr>
                <w:rFonts w:ascii="Arial Narrow" w:hAnsi="Arial Narrow" w:cs="Calibri"/>
                <w:color w:val="000000"/>
                <w:sz w:val="16"/>
                <w:szCs w:val="16"/>
              </w:rPr>
              <w:t xml:space="preserve">που αναλογεί στη χρονική περίοδο της </w:t>
            </w:r>
            <w:r>
              <w:rPr>
                <w:rFonts w:ascii="Arial Narrow" w:hAnsi="Arial Narrow" w:cs="Calibri"/>
                <w:color w:val="000000"/>
                <w:sz w:val="16"/>
                <w:szCs w:val="16"/>
              </w:rPr>
              <w:t xml:space="preserve">προσωρινής </w:t>
            </w:r>
            <w:r w:rsidRPr="00AF00AE">
              <w:rPr>
                <w:rFonts w:ascii="Arial Narrow" w:hAnsi="Arial Narrow" w:cs="Calibri"/>
                <w:color w:val="000000"/>
                <w:sz w:val="16"/>
                <w:szCs w:val="16"/>
              </w:rPr>
              <w:t>αναστολής της σύμβασης εργασίας.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-105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6</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 xml:space="preserve">Κάλυψη του πρόσθετου κόστους του δώρου Χριστουγέννων των υπαλλήλων που λαμβάνουν αποζημίωση </w:t>
            </w:r>
            <w:r>
              <w:rPr>
                <w:rFonts w:ascii="Arial Narrow" w:hAnsi="Arial Narrow" w:cs="Calibri"/>
                <w:color w:val="000000"/>
                <w:sz w:val="16"/>
                <w:szCs w:val="16"/>
              </w:rPr>
              <w:t xml:space="preserve">ειδικού σκοπού </w:t>
            </w:r>
            <w:r w:rsidRPr="00AF00AE">
              <w:rPr>
                <w:rFonts w:ascii="Arial Narrow" w:hAnsi="Arial Narrow" w:cs="Calibri"/>
                <w:color w:val="000000"/>
                <w:sz w:val="16"/>
                <w:szCs w:val="16"/>
              </w:rPr>
              <w:t xml:space="preserve">λόγω </w:t>
            </w:r>
            <w:r>
              <w:rPr>
                <w:rFonts w:ascii="Arial Narrow" w:hAnsi="Arial Narrow" w:cs="Calibri"/>
                <w:color w:val="000000"/>
                <w:sz w:val="16"/>
                <w:szCs w:val="16"/>
              </w:rPr>
              <w:t xml:space="preserve">προσωρινής </w:t>
            </w:r>
            <w:r w:rsidRPr="00AF00AE">
              <w:rPr>
                <w:rFonts w:ascii="Arial Narrow" w:hAnsi="Arial Narrow" w:cs="Calibri"/>
                <w:color w:val="000000"/>
                <w:sz w:val="16"/>
                <w:szCs w:val="16"/>
              </w:rPr>
              <w:t>αναστολής της σύμβασης εργασίας .</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-150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7</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Α</w:t>
            </w:r>
            <w:r w:rsidRPr="00DB0148">
              <w:rPr>
                <w:rFonts w:ascii="Arial Narrow" w:hAnsi="Arial Narrow" w:cs="Calibri"/>
                <w:color w:val="000000"/>
                <w:sz w:val="16"/>
                <w:szCs w:val="16"/>
              </w:rPr>
              <w:t xml:space="preserve">ποζημίωση ειδικού σκοπού ύψους 534 ευρώ </w:t>
            </w:r>
            <w:r>
              <w:rPr>
                <w:rFonts w:ascii="Arial Narrow" w:hAnsi="Arial Narrow" w:cs="Calibri"/>
                <w:color w:val="000000"/>
                <w:sz w:val="16"/>
                <w:szCs w:val="16"/>
              </w:rPr>
              <w:t>σε μηνιαία βάση στους εποχικά</w:t>
            </w:r>
            <w:r w:rsidRPr="00AF00AE">
              <w:rPr>
                <w:rFonts w:ascii="Arial Narrow" w:hAnsi="Arial Narrow" w:cs="Calibri"/>
                <w:color w:val="000000"/>
                <w:sz w:val="16"/>
                <w:szCs w:val="16"/>
              </w:rPr>
              <w:t xml:space="preserve"> εργαζόμενους του τουριστικού κλάδου.</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-223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8</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Αποζημίωση ειδικού σκοπού</w:t>
            </w:r>
            <w:r w:rsidRPr="00AF00AE">
              <w:rPr>
                <w:rFonts w:ascii="Arial Narrow" w:hAnsi="Arial Narrow" w:cs="Calibri"/>
                <w:color w:val="000000"/>
                <w:sz w:val="16"/>
                <w:szCs w:val="16"/>
              </w:rPr>
              <w:t xml:space="preserve"> ύψους 534 ευρώ </w:t>
            </w:r>
            <w:r>
              <w:rPr>
                <w:rFonts w:ascii="Arial Narrow" w:hAnsi="Arial Narrow" w:cs="Calibri"/>
                <w:color w:val="000000"/>
                <w:sz w:val="16"/>
                <w:szCs w:val="16"/>
              </w:rPr>
              <w:t xml:space="preserve">σε μηναία βάση </w:t>
            </w:r>
            <w:r w:rsidRPr="00AF00AE">
              <w:rPr>
                <w:rFonts w:ascii="Arial Narrow" w:hAnsi="Arial Narrow" w:cs="Calibri"/>
                <w:color w:val="000000"/>
                <w:sz w:val="16"/>
                <w:szCs w:val="16"/>
              </w:rPr>
              <w:t>για αυτοαπασχολούμενους και ελεύθερους επαγγελματίες που επλήγησαν από την πανδημία  C</w:t>
            </w:r>
            <w:proofErr w:type="spellStart"/>
            <w:r w:rsidRPr="00AF00AE">
              <w:rPr>
                <w:rFonts w:ascii="Arial Narrow" w:hAnsi="Arial Narrow" w:cs="Calibri"/>
                <w:color w:val="000000"/>
                <w:sz w:val="16"/>
                <w:szCs w:val="16"/>
                <w:lang w:val="en-US"/>
              </w:rPr>
              <w:t>ovid</w:t>
            </w:r>
            <w:proofErr w:type="spellEnd"/>
            <w:r w:rsidRPr="00AF00AE">
              <w:rPr>
                <w:rFonts w:ascii="Arial Narrow" w:hAnsi="Arial Narrow" w:cs="Calibri"/>
                <w:color w:val="000000"/>
                <w:sz w:val="16"/>
                <w:szCs w:val="16"/>
              </w:rPr>
              <w:t xml:space="preserve"> -19</w:t>
            </w:r>
            <w:r>
              <w:rPr>
                <w:rFonts w:ascii="Arial Narrow" w:hAnsi="Arial Narrow" w:cs="Calibri"/>
                <w:color w:val="000000"/>
                <w:sz w:val="16"/>
                <w:szCs w:val="16"/>
              </w:rPr>
              <w:t>,</w:t>
            </w:r>
            <w:r w:rsidRPr="00AF00AE">
              <w:rPr>
                <w:rFonts w:ascii="Arial Narrow" w:hAnsi="Arial Narrow" w:cs="Calibri"/>
                <w:color w:val="000000"/>
                <w:sz w:val="16"/>
                <w:szCs w:val="16"/>
              </w:rPr>
              <w:t xml:space="preserve"> </w:t>
            </w:r>
            <w:r>
              <w:rPr>
                <w:rFonts w:ascii="Arial Narrow" w:hAnsi="Arial Narrow" w:cs="Calibri"/>
                <w:color w:val="000000"/>
                <w:sz w:val="16"/>
                <w:szCs w:val="16"/>
              </w:rPr>
              <w:t>βάση</w:t>
            </w:r>
            <w:r w:rsidRPr="00AF00AE">
              <w:rPr>
                <w:rFonts w:ascii="Arial Narrow" w:hAnsi="Arial Narrow" w:cs="Calibri"/>
                <w:color w:val="000000"/>
                <w:sz w:val="16"/>
                <w:szCs w:val="16"/>
              </w:rPr>
              <w:t xml:space="preserve"> συγκεκριμέν</w:t>
            </w:r>
            <w:r>
              <w:rPr>
                <w:rFonts w:ascii="Arial Narrow" w:hAnsi="Arial Narrow" w:cs="Calibri"/>
                <w:color w:val="000000"/>
                <w:sz w:val="16"/>
                <w:szCs w:val="16"/>
              </w:rPr>
              <w:t>ων</w:t>
            </w:r>
            <w:r w:rsidRPr="00AF00AE">
              <w:rPr>
                <w:rFonts w:ascii="Arial Narrow" w:hAnsi="Arial Narrow" w:cs="Calibri"/>
                <w:color w:val="000000"/>
                <w:sz w:val="16"/>
                <w:szCs w:val="16"/>
              </w:rPr>
              <w:t xml:space="preserve"> ΚΑΔ.</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-492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9</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Α</w:t>
            </w:r>
            <w:r w:rsidRPr="00AF00AE">
              <w:rPr>
                <w:rFonts w:ascii="Arial Narrow" w:hAnsi="Arial Narrow" w:cs="Calibri"/>
                <w:color w:val="000000"/>
                <w:sz w:val="16"/>
                <w:szCs w:val="16"/>
              </w:rPr>
              <w:t>ποζημίωση</w:t>
            </w:r>
            <w:r>
              <w:rPr>
                <w:rFonts w:ascii="Arial Narrow" w:hAnsi="Arial Narrow" w:cs="Calibri"/>
                <w:color w:val="000000"/>
                <w:sz w:val="16"/>
                <w:szCs w:val="16"/>
              </w:rPr>
              <w:t xml:space="preserve"> ειδικού σκοπού</w:t>
            </w:r>
            <w:r w:rsidRPr="00AF00AE">
              <w:rPr>
                <w:rFonts w:ascii="Arial Narrow" w:hAnsi="Arial Narrow" w:cs="Calibri"/>
                <w:color w:val="000000"/>
                <w:sz w:val="16"/>
                <w:szCs w:val="16"/>
              </w:rPr>
              <w:t xml:space="preserve"> ύψους 600 ευρώ σε έξι επιστημονικούς κλάδους (οικονομολόγους/ λογιστές, μηχανικούς, δικηγόρους, ιατρούς, εκπαιδευτικούς και ερευνητές)</w:t>
            </w:r>
            <w:r>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-103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10</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Αποζημίωση ειδικού σκοπού</w:t>
            </w:r>
            <w:r w:rsidRPr="00AF00AE">
              <w:rPr>
                <w:rFonts w:ascii="Arial Narrow" w:hAnsi="Arial Narrow" w:cs="Calibri"/>
                <w:color w:val="000000"/>
                <w:sz w:val="16"/>
                <w:szCs w:val="16"/>
              </w:rPr>
              <w:t xml:space="preserve"> ύψους 534 ευρώ </w:t>
            </w:r>
            <w:r>
              <w:rPr>
                <w:rFonts w:ascii="Arial Narrow" w:hAnsi="Arial Narrow" w:cs="Calibri"/>
                <w:color w:val="000000"/>
                <w:sz w:val="16"/>
                <w:szCs w:val="16"/>
              </w:rPr>
              <w:t xml:space="preserve">σε μηναία βάση </w:t>
            </w:r>
            <w:r w:rsidRPr="00AF00AE">
              <w:rPr>
                <w:rFonts w:ascii="Arial Narrow" w:hAnsi="Arial Narrow" w:cs="Calibri"/>
                <w:color w:val="000000"/>
                <w:sz w:val="16"/>
                <w:szCs w:val="16"/>
              </w:rPr>
              <w:t>σε ιδιοκτήτες μικρών επιχειρήσεων (με έως και 20 υπαλλήλους) που επλήγησαν από την πανδημία C</w:t>
            </w:r>
            <w:proofErr w:type="spellStart"/>
            <w:r w:rsidRPr="00AF00AE">
              <w:rPr>
                <w:rFonts w:ascii="Arial Narrow" w:hAnsi="Arial Narrow" w:cs="Calibri"/>
                <w:color w:val="000000"/>
                <w:sz w:val="16"/>
                <w:szCs w:val="16"/>
                <w:lang w:val="en-US"/>
              </w:rPr>
              <w:t>ovid</w:t>
            </w:r>
            <w:proofErr w:type="spellEnd"/>
            <w:r w:rsidRPr="00AF00AE">
              <w:rPr>
                <w:rFonts w:ascii="Arial Narrow" w:hAnsi="Arial Narrow" w:cs="Calibri"/>
                <w:color w:val="000000"/>
                <w:sz w:val="16"/>
                <w:szCs w:val="16"/>
              </w:rPr>
              <w:t>-19</w:t>
            </w:r>
            <w:r>
              <w:rPr>
                <w:rFonts w:ascii="Arial Narrow" w:hAnsi="Arial Narrow" w:cs="Calibri"/>
                <w:color w:val="000000"/>
                <w:sz w:val="16"/>
                <w:szCs w:val="16"/>
              </w:rPr>
              <w:t>,</w:t>
            </w:r>
            <w:r w:rsidRPr="00AF00AE">
              <w:rPr>
                <w:rFonts w:ascii="Arial Narrow" w:hAnsi="Arial Narrow" w:cs="Calibri"/>
                <w:color w:val="000000"/>
                <w:sz w:val="16"/>
                <w:szCs w:val="16"/>
              </w:rPr>
              <w:t xml:space="preserve"> </w:t>
            </w:r>
            <w:r>
              <w:rPr>
                <w:rFonts w:ascii="Arial Narrow" w:hAnsi="Arial Narrow" w:cs="Calibri"/>
                <w:color w:val="000000"/>
                <w:sz w:val="16"/>
                <w:szCs w:val="16"/>
              </w:rPr>
              <w:t>βάση</w:t>
            </w:r>
            <w:r w:rsidRPr="00AF00AE">
              <w:rPr>
                <w:rFonts w:ascii="Arial Narrow" w:hAnsi="Arial Narrow" w:cs="Calibri"/>
                <w:color w:val="000000"/>
                <w:sz w:val="16"/>
                <w:szCs w:val="16"/>
              </w:rPr>
              <w:t xml:space="preserve"> συγκεκριμέν</w:t>
            </w:r>
            <w:r>
              <w:rPr>
                <w:rFonts w:ascii="Arial Narrow" w:hAnsi="Arial Narrow" w:cs="Calibri"/>
                <w:color w:val="000000"/>
                <w:sz w:val="16"/>
                <w:szCs w:val="16"/>
              </w:rPr>
              <w:t>ων</w:t>
            </w:r>
            <w:r w:rsidRPr="00AF00AE">
              <w:rPr>
                <w:rFonts w:ascii="Arial Narrow" w:hAnsi="Arial Narrow" w:cs="Calibri"/>
                <w:color w:val="000000"/>
                <w:sz w:val="16"/>
                <w:szCs w:val="16"/>
              </w:rPr>
              <w:t xml:space="preserve"> ΚΑΔ.</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-41</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11</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Πρόγραμμα β</w:t>
            </w:r>
            <w:r w:rsidRPr="00AF00AE">
              <w:rPr>
                <w:rFonts w:ascii="Arial Narrow" w:hAnsi="Arial Narrow" w:cs="Calibri"/>
                <w:color w:val="000000"/>
                <w:sz w:val="16"/>
                <w:szCs w:val="16"/>
              </w:rPr>
              <w:t>ραχυχρόνιας απασχόλησης</w:t>
            </w:r>
            <w:r>
              <w:rPr>
                <w:rFonts w:ascii="Arial Narrow" w:hAnsi="Arial Narrow" w:cs="Calibri"/>
                <w:color w:val="000000"/>
                <w:sz w:val="16"/>
                <w:szCs w:val="16"/>
              </w:rPr>
              <w:t xml:space="preserve"> ΣΥΝΕΡΓΑΣΙΑ με κάλυψη 60% του καθαρού μισθού και των ασφαλιστικών εισφορών επί του ονομαστικού μισθού για το χρόνο μειωμένης απασχόλησης.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-196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-61</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12</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 xml:space="preserve">Κάλυψη πρόσθετου κόστους του προγράμματος βραχυχρόνιας απασχόλησης </w:t>
            </w:r>
            <w:r>
              <w:rPr>
                <w:rFonts w:ascii="Arial Narrow" w:hAnsi="Arial Narrow" w:cs="Calibri"/>
                <w:color w:val="000000"/>
                <w:sz w:val="16"/>
                <w:szCs w:val="16"/>
              </w:rPr>
              <w:t xml:space="preserve">ΣΥΝΕΡΓΑΣΙΑ </w:t>
            </w:r>
            <w:r w:rsidRPr="00AF00AE">
              <w:rPr>
                <w:rFonts w:ascii="Arial Narrow" w:hAnsi="Arial Narrow" w:cs="Calibri"/>
                <w:color w:val="000000"/>
                <w:sz w:val="16"/>
                <w:szCs w:val="16"/>
              </w:rPr>
              <w:t>για καταβολή επιδόματος αδείας και δώρου Χριστουγέννων.</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-44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13</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Παράταση του τακτικού επιδόματος ανεργίας, καθώς και του επιδόματος μακροχρόνιας ανεργίας κατά δύο μήνες.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-540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1</w:t>
            </w:r>
            <w:r>
              <w:rPr>
                <w:rFonts w:ascii="Arial Narrow" w:hAnsi="Arial Narrow" w:cs="Calibri"/>
                <w:color w:val="000000"/>
                <w:sz w:val="16"/>
                <w:szCs w:val="16"/>
              </w:rPr>
              <w:t>4</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Έκτακτο ε</w:t>
            </w:r>
            <w:r w:rsidRPr="00AF00AE">
              <w:rPr>
                <w:rFonts w:ascii="Arial Narrow" w:hAnsi="Arial Narrow" w:cs="Calibri"/>
                <w:color w:val="000000"/>
                <w:sz w:val="16"/>
                <w:szCs w:val="16"/>
              </w:rPr>
              <w:t xml:space="preserve">πίδομα ανεργίας, ύψους 400 ευρώ, σε φυσικά πρόσωπα που </w:t>
            </w:r>
            <w:r>
              <w:rPr>
                <w:rFonts w:ascii="Arial Narrow" w:hAnsi="Arial Narrow" w:cs="Calibri"/>
                <w:color w:val="000000"/>
                <w:sz w:val="16"/>
                <w:szCs w:val="16"/>
              </w:rPr>
              <w:t>έγιναν</w:t>
            </w:r>
            <w:r w:rsidRPr="00AF00AE">
              <w:rPr>
                <w:rFonts w:ascii="Arial Narrow" w:hAnsi="Arial Narrow" w:cs="Calibri"/>
                <w:color w:val="000000"/>
                <w:sz w:val="16"/>
                <w:szCs w:val="16"/>
              </w:rPr>
              <w:t xml:space="preserve"> μακροχρόνια άνεργοι</w:t>
            </w:r>
            <w:r>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-65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15</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Επέκταση του επιδόματος ανεργίας στους εποχικούς εργαζόμενους.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-32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16</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Επιδότηση επιτοκίου των επιχειρηματικών δανείων των επιχειρήσεων οι οποίες ανήκουν σε πληττόμενους κλάδους, υπό την προϋπόθεση της διατήρησης των θέσεων εργασίας.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-179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lastRenderedPageBreak/>
              <w:t>17</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Κάλυψη δαπανών λόγω της πανδημίας Covid-19 για την ενίσχυση του Εθνικού Συστήματος Υγείας (εξοπλισμός/υποδομές και αναλώσιμα)</w:t>
            </w:r>
            <w:r>
              <w:rPr>
                <w:rFonts w:ascii="Arial Narrow" w:hAnsi="Arial Narrow" w:cs="Calibri"/>
                <w:color w:val="000000"/>
                <w:sz w:val="16"/>
                <w:szCs w:val="16"/>
              </w:rPr>
              <w:t xml:space="preserve"> (αναφέρονται δαπάνες που έχουν πραγματοποιηθεί έως τέλη Σεπτεμβρίου 2020).</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-304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1</w:t>
            </w:r>
            <w:r>
              <w:rPr>
                <w:rFonts w:ascii="Arial Narrow" w:hAnsi="Arial Narrow" w:cs="Calibri"/>
                <w:color w:val="000000"/>
                <w:sz w:val="16"/>
                <w:szCs w:val="16"/>
              </w:rPr>
              <w:t>8</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Π</w:t>
            </w:r>
            <w:r w:rsidRPr="00AF00AE">
              <w:rPr>
                <w:rFonts w:ascii="Arial Narrow" w:hAnsi="Arial Narrow" w:cs="Calibri"/>
                <w:color w:val="000000"/>
                <w:sz w:val="16"/>
                <w:szCs w:val="16"/>
              </w:rPr>
              <w:t xml:space="preserve">ροσλήψεις </w:t>
            </w:r>
            <w:r>
              <w:rPr>
                <w:rFonts w:ascii="Arial Narrow" w:hAnsi="Arial Narrow" w:cs="Calibri"/>
                <w:color w:val="000000"/>
                <w:sz w:val="16"/>
                <w:szCs w:val="16"/>
              </w:rPr>
              <w:t xml:space="preserve">έκτακτου </w:t>
            </w:r>
            <w:r w:rsidRPr="00AF00AE">
              <w:rPr>
                <w:rFonts w:ascii="Arial Narrow" w:hAnsi="Arial Narrow" w:cs="Calibri"/>
                <w:color w:val="000000"/>
                <w:sz w:val="16"/>
                <w:szCs w:val="16"/>
              </w:rPr>
              <w:t>υγειονομικού προσωπικού.</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-85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-131</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1</w:t>
            </w:r>
            <w:r>
              <w:rPr>
                <w:rFonts w:ascii="Arial Narrow" w:hAnsi="Arial Narrow" w:cs="Calibri"/>
                <w:color w:val="000000"/>
                <w:sz w:val="16"/>
                <w:szCs w:val="16"/>
              </w:rPr>
              <w:t>9</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lang w:val="en-US"/>
              </w:rPr>
              <w:t>K</w:t>
            </w:r>
            <w:proofErr w:type="spellStart"/>
            <w:r w:rsidRPr="00AF00AE">
              <w:rPr>
                <w:rFonts w:ascii="Arial Narrow" w:hAnsi="Arial Narrow" w:cs="Calibri"/>
                <w:color w:val="000000"/>
                <w:sz w:val="16"/>
                <w:szCs w:val="16"/>
              </w:rPr>
              <w:t>αταβολή</w:t>
            </w:r>
            <w:proofErr w:type="spellEnd"/>
            <w:r w:rsidRPr="00AF00AE">
              <w:rPr>
                <w:rFonts w:ascii="Arial Narrow" w:hAnsi="Arial Narrow" w:cs="Calibri"/>
                <w:color w:val="000000"/>
                <w:sz w:val="16"/>
                <w:szCs w:val="16"/>
              </w:rPr>
              <w:t xml:space="preserve"> έκτακτης οικονομικής ενίσχυσης </w:t>
            </w:r>
            <w:r>
              <w:rPr>
                <w:rFonts w:ascii="Arial Narrow" w:hAnsi="Arial Narrow" w:cs="Calibri"/>
                <w:color w:val="000000"/>
                <w:sz w:val="16"/>
                <w:szCs w:val="16"/>
              </w:rPr>
              <w:t xml:space="preserve">το Πάσχα </w:t>
            </w:r>
            <w:r w:rsidRPr="00AF00AE">
              <w:rPr>
                <w:rFonts w:ascii="Arial Narrow" w:hAnsi="Arial Narrow" w:cs="Calibri"/>
                <w:color w:val="000000"/>
                <w:sz w:val="16"/>
                <w:szCs w:val="16"/>
              </w:rPr>
              <w:t xml:space="preserve">στους εργαζόμενους των νοσοκομείων, του ΕΟΔΥ, </w:t>
            </w:r>
            <w:proofErr w:type="gramStart"/>
            <w:r w:rsidRPr="00AF00AE">
              <w:rPr>
                <w:rFonts w:ascii="Arial Narrow" w:hAnsi="Arial Narrow" w:cs="Calibri"/>
                <w:color w:val="000000"/>
                <w:sz w:val="16"/>
                <w:szCs w:val="16"/>
              </w:rPr>
              <w:t>του  ΕΚΑΒ</w:t>
            </w:r>
            <w:proofErr w:type="gramEnd"/>
            <w:r w:rsidRPr="00AF00AE">
              <w:rPr>
                <w:rFonts w:ascii="Arial Narrow" w:hAnsi="Arial Narrow" w:cs="Calibri"/>
                <w:color w:val="000000"/>
                <w:sz w:val="16"/>
                <w:szCs w:val="16"/>
              </w:rPr>
              <w:t>, και της Πολιτικής Προστασίας.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-90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0A0E01">
              <w:rPr>
                <w:rFonts w:ascii="Arial Narrow" w:hAnsi="Arial Narrow"/>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20</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Κάλυψη των έκτακτων δαπανών, λόγω της πανδημίας Covid-19, των</w:t>
            </w:r>
            <w:r>
              <w:rPr>
                <w:rFonts w:ascii="Arial Narrow" w:hAnsi="Arial Narrow" w:cs="Calibri"/>
                <w:color w:val="000000"/>
                <w:sz w:val="16"/>
                <w:szCs w:val="16"/>
              </w:rPr>
              <w:t xml:space="preserve"> φορέων της Κεντρικής Διοίκησης </w:t>
            </w:r>
            <w:r w:rsidRPr="00FC6722">
              <w:rPr>
                <w:rFonts w:ascii="Arial Narrow" w:hAnsi="Arial Narrow" w:cs="Calibri"/>
                <w:color w:val="000000"/>
                <w:sz w:val="16"/>
                <w:szCs w:val="16"/>
              </w:rPr>
              <w:t>(αναφέρονται δαπάνες που έχουν πραγματοποιηθεί έως τέλη Σεπτεμβρίου 2020)</w:t>
            </w:r>
            <w:r>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-229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21</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Ν</w:t>
            </w:r>
            <w:r w:rsidRPr="00AF00AE">
              <w:rPr>
                <w:rFonts w:ascii="Arial Narrow" w:hAnsi="Arial Narrow" w:cs="Calibri"/>
                <w:color w:val="000000"/>
                <w:sz w:val="16"/>
                <w:szCs w:val="16"/>
              </w:rPr>
              <w:t>έες προσλήψεις στα μέσα μαζικής μεταφοράς (ΟΣΥ/ΣΤΑΣΥ) και χρηματοδοτική μίσθωση (</w:t>
            </w:r>
            <w:proofErr w:type="spellStart"/>
            <w:r w:rsidRPr="00AF00AE">
              <w:rPr>
                <w:rFonts w:ascii="Arial Narrow" w:hAnsi="Arial Narrow" w:cs="Calibri"/>
                <w:color w:val="000000"/>
                <w:sz w:val="16"/>
                <w:szCs w:val="16"/>
              </w:rPr>
              <w:t>leasing</w:t>
            </w:r>
            <w:proofErr w:type="spellEnd"/>
            <w:r w:rsidRPr="00AF00AE">
              <w:rPr>
                <w:rFonts w:ascii="Arial Narrow" w:hAnsi="Arial Narrow" w:cs="Calibri"/>
                <w:color w:val="000000"/>
                <w:sz w:val="16"/>
                <w:szCs w:val="16"/>
              </w:rPr>
              <w:t xml:space="preserve">) </w:t>
            </w:r>
            <w:r>
              <w:rPr>
                <w:rFonts w:ascii="Arial Narrow" w:hAnsi="Arial Narrow" w:cs="Calibri"/>
                <w:color w:val="000000"/>
                <w:sz w:val="16"/>
                <w:szCs w:val="16"/>
              </w:rPr>
              <w:t>επιπλέον λεωφορείων.</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-46</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w:t>
            </w:r>
            <w:r>
              <w:rPr>
                <w:rFonts w:ascii="Arial Narrow" w:hAnsi="Arial Narrow" w:cs="Calibri"/>
                <w:color w:val="000000"/>
                <w:sz w:val="16"/>
                <w:szCs w:val="16"/>
              </w:rPr>
              <w:t>2</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Άδεια ειδικού σκοπού για εργαζόμενους με παιδιά που φοιτούν σε σχολεία (για την περίοδο που τα σχολεία είναι  κλειστά λόγω της πανδημίας C</w:t>
            </w:r>
            <w:proofErr w:type="spellStart"/>
            <w:r w:rsidRPr="00AF00AE">
              <w:rPr>
                <w:rFonts w:ascii="Arial Narrow" w:hAnsi="Arial Narrow" w:cs="Calibri"/>
                <w:color w:val="000000"/>
                <w:sz w:val="16"/>
                <w:szCs w:val="16"/>
                <w:lang w:val="en-US"/>
              </w:rPr>
              <w:t>ovid</w:t>
            </w:r>
            <w:proofErr w:type="spellEnd"/>
            <w:r w:rsidRPr="00AF00AE">
              <w:rPr>
                <w:rFonts w:ascii="Arial Narrow" w:hAnsi="Arial Narrow" w:cs="Calibri"/>
                <w:color w:val="000000"/>
                <w:sz w:val="16"/>
                <w:szCs w:val="16"/>
              </w:rPr>
              <w:t xml:space="preserve">-19). </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-20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23</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Ενίσχυση</w:t>
            </w:r>
            <w:r w:rsidRPr="00AF00AE">
              <w:rPr>
                <w:rFonts w:ascii="Arial Narrow" w:hAnsi="Arial Narrow" w:cs="Calibri"/>
                <w:color w:val="000000"/>
                <w:sz w:val="16"/>
                <w:szCs w:val="16"/>
              </w:rPr>
              <w:t xml:space="preserve"> του προγράμματος κοινωνικού τουρισμού του Υπουργείου Τουρισμού.</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-100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w:t>
            </w:r>
            <w:r>
              <w:rPr>
                <w:rFonts w:ascii="Arial Narrow" w:hAnsi="Arial Narrow" w:cs="Calibri"/>
                <w:color w:val="000000"/>
                <w:sz w:val="16"/>
                <w:szCs w:val="16"/>
              </w:rPr>
              <w:t>4</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Ενίσχυση του π</w:t>
            </w:r>
            <w:r w:rsidRPr="00AF00AE">
              <w:rPr>
                <w:rFonts w:ascii="Arial Narrow" w:hAnsi="Arial Narrow" w:cs="Calibri"/>
                <w:color w:val="000000"/>
                <w:sz w:val="16"/>
                <w:szCs w:val="16"/>
              </w:rPr>
              <w:t>ρ</w:t>
            </w:r>
            <w:r>
              <w:rPr>
                <w:rFonts w:ascii="Arial Narrow" w:hAnsi="Arial Narrow" w:cs="Calibri"/>
                <w:color w:val="000000"/>
                <w:sz w:val="16"/>
                <w:szCs w:val="16"/>
              </w:rPr>
              <w:t>ογρά</w:t>
            </w:r>
            <w:r w:rsidRPr="00AF00AE">
              <w:rPr>
                <w:rFonts w:ascii="Arial Narrow" w:hAnsi="Arial Narrow" w:cs="Calibri"/>
                <w:color w:val="000000"/>
                <w:sz w:val="16"/>
                <w:szCs w:val="16"/>
              </w:rPr>
              <w:t>μμα</w:t>
            </w:r>
            <w:r>
              <w:rPr>
                <w:rFonts w:ascii="Arial Narrow" w:hAnsi="Arial Narrow" w:cs="Calibri"/>
                <w:color w:val="000000"/>
                <w:sz w:val="16"/>
                <w:szCs w:val="16"/>
              </w:rPr>
              <w:t>τος</w:t>
            </w:r>
            <w:r w:rsidRPr="00AF00AE">
              <w:rPr>
                <w:rFonts w:ascii="Arial Narrow" w:hAnsi="Arial Narrow" w:cs="Calibri"/>
                <w:color w:val="000000"/>
                <w:sz w:val="16"/>
                <w:szCs w:val="16"/>
              </w:rPr>
              <w:t xml:space="preserve"> κοινωνικού τουρισμού του ΟΑΕΔ.</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25</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Κάλυψη της διαφημιστικής δαπάνης του ΕΟΤ.</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-23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26</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Επιπρόσθετη σ</w:t>
            </w:r>
            <w:r w:rsidRPr="00AF00AE">
              <w:rPr>
                <w:rFonts w:ascii="Arial Narrow" w:hAnsi="Arial Narrow" w:cs="Calibri"/>
                <w:color w:val="000000"/>
                <w:sz w:val="16"/>
                <w:szCs w:val="16"/>
              </w:rPr>
              <w:t>τήριξη του πρωτογενούς τομέα παραγωγής από το Υπουργείο Αγροτικής Ανάπτυξης και Τροφίμων.</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rPr>
              <w:t>-150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w:t>
            </w:r>
            <w:r>
              <w:rPr>
                <w:rFonts w:ascii="Arial Narrow" w:hAnsi="Arial Narrow" w:cs="Calibri"/>
                <w:color w:val="000000"/>
                <w:sz w:val="16"/>
                <w:szCs w:val="16"/>
              </w:rPr>
              <w:t>7</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Pr>
                <w:rFonts w:ascii="Arial Narrow" w:hAnsi="Arial Narrow" w:cs="Calibri"/>
                <w:color w:val="000000"/>
                <w:sz w:val="16"/>
                <w:szCs w:val="16"/>
              </w:rPr>
              <w:t>Επιπλέον επιχο</w:t>
            </w:r>
            <w:r w:rsidRPr="00AF00AE">
              <w:rPr>
                <w:rFonts w:ascii="Arial Narrow" w:hAnsi="Arial Narrow" w:cs="Calibri"/>
                <w:color w:val="000000"/>
                <w:sz w:val="16"/>
                <w:szCs w:val="16"/>
              </w:rPr>
              <w:t xml:space="preserve">ρήγηση </w:t>
            </w:r>
            <w:r>
              <w:rPr>
                <w:rFonts w:ascii="Arial Narrow" w:hAnsi="Arial Narrow" w:cs="Calibri"/>
                <w:color w:val="000000"/>
                <w:sz w:val="16"/>
                <w:szCs w:val="16"/>
              </w:rPr>
              <w:t>σ</w:t>
            </w:r>
            <w:r w:rsidRPr="00AF00AE">
              <w:rPr>
                <w:rFonts w:ascii="Arial Narrow" w:hAnsi="Arial Narrow" w:cs="Calibri"/>
                <w:color w:val="000000"/>
                <w:sz w:val="16"/>
                <w:szCs w:val="16"/>
              </w:rPr>
              <w:t>το Υπουργείο Πολιτισμού για την ενίσχυση  του κλάδου του πολιτισμού.</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w:t>
            </w:r>
            <w:r>
              <w:rPr>
                <w:rFonts w:ascii="Arial Narrow" w:hAnsi="Arial Narrow" w:cs="Calibri"/>
                <w:color w:val="000000"/>
                <w:sz w:val="16"/>
                <w:szCs w:val="16"/>
              </w:rPr>
              <w:t>8</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Αποζημίωση σε εταιρείες ΚΤΕΛ και την ΤΡΑΙΝΟΣΕ για τους περιορισμούς που επιβλήθηκαν στις θέσεις επιβατών.</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-44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w:t>
            </w:r>
            <w:r>
              <w:rPr>
                <w:rFonts w:ascii="Arial Narrow" w:hAnsi="Arial Narrow" w:cs="Calibri"/>
                <w:color w:val="000000"/>
                <w:sz w:val="16"/>
                <w:szCs w:val="16"/>
              </w:rPr>
              <w:t>9</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7D351B" w:rsidRDefault="00CD2D8A" w:rsidP="008F24A5">
            <w:pPr>
              <w:jc w:val="both"/>
              <w:rPr>
                <w:rFonts w:ascii="Arial Narrow" w:hAnsi="Arial Narrow" w:cs="Calibri"/>
                <w:color w:val="000000"/>
                <w:sz w:val="16"/>
                <w:szCs w:val="16"/>
              </w:rPr>
            </w:pPr>
            <w:r w:rsidRPr="00AF00AE">
              <w:rPr>
                <w:rFonts w:ascii="Arial Narrow" w:hAnsi="Arial Narrow" w:cs="Calibri"/>
                <w:color w:val="000000"/>
                <w:sz w:val="16"/>
                <w:szCs w:val="16"/>
              </w:rPr>
              <w:t xml:space="preserve">Αποζημίωση </w:t>
            </w:r>
            <w:r>
              <w:rPr>
                <w:rFonts w:ascii="Arial Narrow" w:hAnsi="Arial Narrow" w:cs="Calibri"/>
                <w:color w:val="000000"/>
                <w:sz w:val="16"/>
                <w:szCs w:val="16"/>
              </w:rPr>
              <w:t>ακτοπλοϊκών γραμμών</w:t>
            </w:r>
            <w:r w:rsidRPr="007D351B">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7D351B" w:rsidRDefault="00CD2D8A" w:rsidP="008F24A5">
            <w:pPr>
              <w:ind w:right="170"/>
              <w:jc w:val="right"/>
              <w:rPr>
                <w:rFonts w:ascii="Arial Narrow" w:hAnsi="Arial Narrow" w:cs="Calibri"/>
                <w:color w:val="000000"/>
                <w:sz w:val="16"/>
                <w:szCs w:val="16"/>
              </w:rPr>
            </w:pPr>
            <w:r w:rsidRPr="007D351B">
              <w:rPr>
                <w:rFonts w:ascii="Arial Narrow" w:hAnsi="Arial Narrow" w:cs="Calibri"/>
                <w:color w:val="000000"/>
                <w:sz w:val="16"/>
                <w:szCs w:val="16"/>
              </w:rPr>
              <w:t>-33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7D351B" w:rsidRDefault="00CD2D8A" w:rsidP="008F24A5">
            <w:pPr>
              <w:ind w:right="170"/>
              <w:jc w:val="right"/>
              <w:rPr>
                <w:rFonts w:ascii="Arial Narrow" w:hAnsi="Arial Narrow" w:cs="Calibri"/>
                <w:color w:val="000000"/>
                <w:sz w:val="16"/>
                <w:szCs w:val="16"/>
              </w:rPr>
            </w:pPr>
            <w:r w:rsidRPr="007D351B">
              <w:rPr>
                <w:rFonts w:ascii="Arial Narrow" w:hAnsi="Arial Narrow" w:cs="Calibri"/>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30</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Αποζημίωση σε ερασιτεχνικούς αθλητικούς συλλόγους.</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-12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3</w:t>
            </w:r>
            <w:r>
              <w:rPr>
                <w:rFonts w:ascii="Arial Narrow" w:hAnsi="Arial Narrow" w:cs="Calibri"/>
                <w:color w:val="000000"/>
                <w:sz w:val="16"/>
                <w:szCs w:val="16"/>
              </w:rPr>
              <w:t>1</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color w:val="000000"/>
                <w:sz w:val="16"/>
                <w:szCs w:val="16"/>
              </w:rPr>
              <w:t>Αποζημίωση ανά θέση επιβάτη στις αεροπορικές εταιρείες</w:t>
            </w:r>
            <w:r>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olor w:val="000000"/>
                <w:sz w:val="16"/>
                <w:szCs w:val="16"/>
              </w:rPr>
            </w:pPr>
            <w:r w:rsidRPr="00AF00AE">
              <w:rPr>
                <w:rFonts w:ascii="Arial Narrow" w:hAnsi="Arial Narrow" w:cs="Calibri"/>
                <w:color w:val="000000"/>
                <w:sz w:val="16"/>
                <w:szCs w:val="16"/>
                <w:lang w:val="en-US"/>
              </w:rPr>
              <w:t>0</w:t>
            </w:r>
          </w:p>
        </w:tc>
      </w:tr>
      <w:tr w:rsidR="00CD2D8A" w:rsidRPr="0022230F" w:rsidTr="008F24A5">
        <w:trPr>
          <w:trHeight w:val="20"/>
        </w:trPr>
        <w:tc>
          <w:tcPr>
            <w:tcW w:w="513" w:type="dxa"/>
            <w:gridSpan w:val="2"/>
            <w:tcBorders>
              <w:top w:val="single" w:sz="4" w:space="0" w:color="auto"/>
              <w:left w:val="single" w:sz="4" w:space="0" w:color="auto"/>
              <w:bottom w:val="single" w:sz="4" w:space="0" w:color="auto"/>
              <w:right w:val="nil"/>
            </w:tcBorders>
            <w:shd w:val="clear" w:color="D9D9D9" w:fill="D9D9D9"/>
            <w:vAlign w:val="center"/>
          </w:tcPr>
          <w:p w:rsidR="00CD2D8A" w:rsidRPr="00AF00AE" w:rsidRDefault="00CD2D8A" w:rsidP="008F24A5">
            <w:pPr>
              <w:jc w:val="center"/>
              <w:rPr>
                <w:rFonts w:ascii="Arial Narrow" w:hAnsi="Arial Narrow" w:cs="Calibri"/>
                <w:b/>
                <w:bCs/>
                <w:color w:val="000000"/>
                <w:sz w:val="16"/>
                <w:szCs w:val="16"/>
              </w:rPr>
            </w:pPr>
            <w:r w:rsidRPr="00AF00AE">
              <w:rPr>
                <w:rFonts w:ascii="Arial Narrow" w:hAnsi="Arial Narrow" w:cs="Calibri"/>
                <w:b/>
                <w:bCs/>
                <w:color w:val="000000"/>
                <w:sz w:val="16"/>
                <w:szCs w:val="16"/>
              </w:rPr>
              <w:t>Γ</w:t>
            </w:r>
          </w:p>
        </w:tc>
        <w:tc>
          <w:tcPr>
            <w:tcW w:w="7108" w:type="dxa"/>
            <w:gridSpan w:val="2"/>
            <w:tcBorders>
              <w:top w:val="single" w:sz="4" w:space="0" w:color="auto"/>
              <w:left w:val="nil"/>
              <w:bottom w:val="single" w:sz="4" w:space="0" w:color="auto"/>
              <w:right w:val="nil"/>
            </w:tcBorders>
            <w:shd w:val="clear" w:color="D9D9D9" w:fill="D9D9D9"/>
            <w:noWrap/>
            <w:vAlign w:val="bottom"/>
            <w:hideMark/>
          </w:tcPr>
          <w:p w:rsidR="00CD2D8A" w:rsidRPr="00AF00AE" w:rsidRDefault="00CD2D8A" w:rsidP="008F24A5">
            <w:pPr>
              <w:jc w:val="both"/>
              <w:rPr>
                <w:rFonts w:ascii="Arial Narrow" w:hAnsi="Arial Narrow"/>
                <w:color w:val="000000"/>
                <w:sz w:val="16"/>
                <w:szCs w:val="16"/>
              </w:rPr>
            </w:pPr>
            <w:r w:rsidRPr="00AF00AE">
              <w:rPr>
                <w:rFonts w:ascii="Arial Narrow" w:hAnsi="Arial Narrow" w:cs="Calibri"/>
                <w:b/>
                <w:bCs/>
                <w:color w:val="000000"/>
                <w:sz w:val="16"/>
                <w:szCs w:val="16"/>
              </w:rPr>
              <w:t>Δημοσιονομικά ουδέτερες παρεμβάσεις</w:t>
            </w:r>
          </w:p>
        </w:tc>
        <w:tc>
          <w:tcPr>
            <w:tcW w:w="815" w:type="dxa"/>
            <w:gridSpan w:val="2"/>
            <w:tcBorders>
              <w:top w:val="single" w:sz="4" w:space="0" w:color="auto"/>
              <w:left w:val="nil"/>
              <w:bottom w:val="single" w:sz="4" w:space="0" w:color="auto"/>
              <w:right w:val="nil"/>
            </w:tcBorders>
            <w:shd w:val="clear" w:color="D9D9D9" w:fill="D9D9D9"/>
            <w:noWrap/>
            <w:vAlign w:val="bottom"/>
            <w:hideMark/>
          </w:tcPr>
          <w:p w:rsidR="00CD2D8A" w:rsidRPr="00AF00AE" w:rsidRDefault="00CD2D8A" w:rsidP="008F24A5">
            <w:pPr>
              <w:ind w:right="170"/>
              <w:jc w:val="right"/>
              <w:rPr>
                <w:rFonts w:ascii="Arial Narrow" w:hAnsi="Arial Narrow"/>
                <w:b/>
                <w:color w:val="000000"/>
                <w:sz w:val="16"/>
                <w:szCs w:val="16"/>
              </w:rPr>
            </w:pPr>
            <w:r w:rsidRPr="00AF00AE">
              <w:rPr>
                <w:rFonts w:ascii="Arial Narrow" w:hAnsi="Arial Narrow"/>
                <w:b/>
                <w:color w:val="000000"/>
                <w:sz w:val="16"/>
                <w:szCs w:val="16"/>
              </w:rPr>
              <w:t>0</w:t>
            </w:r>
          </w:p>
        </w:tc>
        <w:tc>
          <w:tcPr>
            <w:tcW w:w="783" w:type="dxa"/>
            <w:tcBorders>
              <w:top w:val="single" w:sz="4" w:space="0" w:color="auto"/>
              <w:left w:val="nil"/>
              <w:bottom w:val="single" w:sz="4" w:space="0" w:color="auto"/>
              <w:right w:val="single" w:sz="4" w:space="0" w:color="auto"/>
            </w:tcBorders>
            <w:shd w:val="clear" w:color="D9D9D9" w:fill="D9D9D9"/>
            <w:noWrap/>
            <w:vAlign w:val="bottom"/>
            <w:hideMark/>
          </w:tcPr>
          <w:p w:rsidR="00CD2D8A" w:rsidRPr="00AF00AE" w:rsidRDefault="00CD2D8A" w:rsidP="008F24A5">
            <w:pPr>
              <w:ind w:right="170"/>
              <w:jc w:val="right"/>
              <w:rPr>
                <w:rFonts w:ascii="Arial Narrow" w:hAnsi="Arial Narrow"/>
                <w:b/>
                <w:color w:val="000000"/>
                <w:sz w:val="16"/>
                <w:szCs w:val="16"/>
              </w:rPr>
            </w:pPr>
            <w:r w:rsidRPr="00AF00AE">
              <w:rPr>
                <w:rFonts w:ascii="Arial Narrow" w:hAnsi="Arial Narrow"/>
                <w:b/>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1</w:t>
            </w:r>
          </w:p>
        </w:tc>
        <w:tc>
          <w:tcPr>
            <w:tcW w:w="7108"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jc w:val="both"/>
              <w:rPr>
                <w:rFonts w:ascii="Arial Narrow" w:hAnsi="Arial Narrow" w:cs="Calibri"/>
                <w:color w:val="000000"/>
                <w:sz w:val="16"/>
                <w:szCs w:val="16"/>
              </w:rPr>
            </w:pPr>
            <w:r w:rsidRPr="00AF00AE">
              <w:rPr>
                <w:rFonts w:ascii="Arial Narrow" w:hAnsi="Arial Narrow" w:cs="Calibri"/>
                <w:color w:val="000000"/>
                <w:sz w:val="16"/>
                <w:szCs w:val="16"/>
              </w:rPr>
              <w:t>Αναστολή αποπληρωμής δόσεων των ενήμερων</w:t>
            </w:r>
            <w:r w:rsidRPr="009A5E89">
              <w:rPr>
                <w:rFonts w:ascii="Arial Narrow" w:hAnsi="Arial Narrow" w:cs="Calibri"/>
                <w:color w:val="000000"/>
                <w:sz w:val="16"/>
                <w:szCs w:val="16"/>
              </w:rPr>
              <w:t xml:space="preserve"> </w:t>
            </w:r>
            <w:r>
              <w:rPr>
                <w:rFonts w:ascii="Arial Narrow" w:hAnsi="Arial Narrow" w:cs="Calibri"/>
                <w:color w:val="000000"/>
                <w:sz w:val="16"/>
                <w:szCs w:val="16"/>
              </w:rPr>
              <w:t>τραπεζικών</w:t>
            </w:r>
            <w:r w:rsidRPr="00AF00AE">
              <w:rPr>
                <w:rFonts w:ascii="Arial Narrow" w:hAnsi="Arial Narrow" w:cs="Calibri"/>
                <w:color w:val="000000"/>
                <w:sz w:val="16"/>
                <w:szCs w:val="16"/>
              </w:rPr>
              <w:t xml:space="preserve"> δανείων για επιχειρήσεις που πλήττονται από την πανδημία</w:t>
            </w:r>
            <w:r>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2</w:t>
            </w:r>
          </w:p>
        </w:tc>
        <w:tc>
          <w:tcPr>
            <w:tcW w:w="7108"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jc w:val="both"/>
              <w:rPr>
                <w:rFonts w:ascii="Arial Narrow" w:hAnsi="Arial Narrow" w:cs="Calibri"/>
                <w:color w:val="000000"/>
                <w:sz w:val="16"/>
                <w:szCs w:val="16"/>
              </w:rPr>
            </w:pPr>
            <w:r w:rsidRPr="00AF00AE">
              <w:rPr>
                <w:rFonts w:ascii="Arial Narrow" w:hAnsi="Arial Narrow" w:cs="Calibri"/>
                <w:color w:val="000000"/>
                <w:sz w:val="16"/>
                <w:szCs w:val="16"/>
              </w:rPr>
              <w:t>Αναστολή πληρωμής επιταγών των επιχειρήσεων που πλήττονται από την πανδημία</w:t>
            </w:r>
            <w:r>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Pr>
                <w:rFonts w:ascii="Arial Narrow" w:hAnsi="Arial Narrow" w:cs="Calibri"/>
                <w:color w:val="000000"/>
                <w:sz w:val="16"/>
                <w:szCs w:val="16"/>
              </w:rPr>
              <w:t>3</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color w:val="000000"/>
                <w:sz w:val="16"/>
                <w:szCs w:val="16"/>
              </w:rPr>
            </w:pPr>
            <w:r>
              <w:rPr>
                <w:rFonts w:ascii="Arial Narrow" w:hAnsi="Arial Narrow" w:cs="Calibri"/>
                <w:color w:val="000000"/>
                <w:sz w:val="16"/>
                <w:szCs w:val="16"/>
              </w:rPr>
              <w:t>Παροχή δυνατότητας στις επιχειρήσεις που πλήττονται από την πανδημία να θέσουν τους εργαζόμενους τους σε μερική απασχόληση, για δύο εβδομάδες ανά μήνα.</w:t>
            </w:r>
            <w:r w:rsidRPr="00AF00AE">
              <w:rPr>
                <w:rFonts w:ascii="Arial Narrow" w:hAnsi="Arial Narrow" w:cs="Calibri"/>
                <w:color w:val="000000"/>
                <w:sz w:val="16"/>
                <w:szCs w:val="16"/>
              </w:rPr>
              <w:t xml:space="preserve"> </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9A5E89" w:rsidRDefault="00CD2D8A" w:rsidP="008F24A5">
            <w:pPr>
              <w:ind w:right="170"/>
              <w:jc w:val="right"/>
              <w:rPr>
                <w:rFonts w:ascii="Arial Narrow" w:hAnsi="Arial Narrow" w:cs="Calibri"/>
                <w:color w:val="000000"/>
                <w:sz w:val="16"/>
                <w:szCs w:val="16"/>
              </w:rPr>
            </w:pPr>
            <w:r w:rsidRPr="009A5E89">
              <w:rPr>
                <w:rFonts w:ascii="Arial Narrow" w:hAnsi="Arial Narrow" w:cs="Calibri"/>
                <w:color w:val="000000"/>
                <w:sz w:val="16"/>
                <w:szCs w:val="16"/>
              </w:rPr>
              <w:t>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9A5E89" w:rsidRDefault="00CD2D8A" w:rsidP="008F24A5">
            <w:pPr>
              <w:ind w:right="170"/>
              <w:jc w:val="right"/>
              <w:rPr>
                <w:rFonts w:ascii="Arial Narrow" w:hAnsi="Arial Narrow" w:cs="Calibri"/>
                <w:color w:val="000000"/>
                <w:sz w:val="16"/>
                <w:szCs w:val="16"/>
              </w:rPr>
            </w:pPr>
            <w:r w:rsidRPr="009A5E89">
              <w:rPr>
                <w:rFonts w:ascii="Arial Narrow" w:hAnsi="Arial Narrow" w:cs="Calibri"/>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shd w:val="clear" w:color="auto" w:fill="auto"/>
            <w:vAlign w:val="center"/>
          </w:tcPr>
          <w:p w:rsidR="00CD2D8A" w:rsidRPr="00AF00AE" w:rsidRDefault="00CD2D8A" w:rsidP="008F24A5">
            <w:pPr>
              <w:jc w:val="center"/>
              <w:rPr>
                <w:rFonts w:ascii="Arial Narrow" w:hAnsi="Arial Narrow" w:cs="Calibri"/>
                <w:bCs/>
                <w:color w:val="000000"/>
                <w:sz w:val="16"/>
                <w:szCs w:val="16"/>
              </w:rPr>
            </w:pPr>
            <w:r w:rsidRPr="00AF00AE">
              <w:rPr>
                <w:rFonts w:ascii="Arial Narrow" w:hAnsi="Arial Narrow" w:cs="Calibri"/>
                <w:bCs/>
                <w:color w:val="000000"/>
                <w:sz w:val="16"/>
                <w:szCs w:val="16"/>
              </w:rPr>
              <w:t>4</w:t>
            </w:r>
          </w:p>
        </w:tc>
        <w:tc>
          <w:tcPr>
            <w:tcW w:w="7108"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jc w:val="both"/>
              <w:rPr>
                <w:rFonts w:ascii="Arial Narrow" w:hAnsi="Arial Narrow" w:cs="Calibri"/>
                <w:bCs/>
                <w:color w:val="000000"/>
                <w:sz w:val="16"/>
                <w:szCs w:val="16"/>
              </w:rPr>
            </w:pPr>
            <w:r>
              <w:rPr>
                <w:rFonts w:ascii="Arial Narrow" w:hAnsi="Arial Narrow" w:cs="Calibri"/>
                <w:color w:val="000000"/>
                <w:sz w:val="16"/>
                <w:szCs w:val="16"/>
              </w:rPr>
              <w:t>Α</w:t>
            </w:r>
            <w:r w:rsidRPr="00AF00AE">
              <w:rPr>
                <w:rFonts w:ascii="Arial Narrow" w:hAnsi="Arial Narrow" w:cs="Calibri"/>
                <w:color w:val="000000"/>
                <w:sz w:val="16"/>
                <w:szCs w:val="16"/>
              </w:rPr>
              <w:t>ποπληρωμή όλων των εκκρεμών επιστροφών φόρων έως και 30.000 ευρώ που βρίσκονται υπό τη διαδικασία ελέγχου</w:t>
            </w:r>
            <w:r>
              <w:rPr>
                <w:rFonts w:ascii="Arial Narrow" w:hAnsi="Arial Narrow" w:cs="Calibri"/>
                <w:color w:val="000000"/>
                <w:sz w:val="16"/>
                <w:szCs w:val="16"/>
              </w:rPr>
              <w:t xml:space="preserve"> από τη φορολογική αρχή</w:t>
            </w:r>
            <w:r w:rsidRPr="00AF00AE">
              <w:rPr>
                <w:rFonts w:ascii="Arial Narrow" w:hAnsi="Arial Narrow" w:cs="Calibri"/>
                <w:color w:val="000000"/>
                <w:sz w:val="16"/>
                <w:szCs w:val="16"/>
              </w:rPr>
              <w:t>.</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shd w:val="clear" w:color="D9D9D9" w:fill="D9D9D9"/>
            <w:vAlign w:val="center"/>
          </w:tcPr>
          <w:p w:rsidR="00CD2D8A" w:rsidRPr="00AF00AE" w:rsidRDefault="00CD2D8A" w:rsidP="008F24A5">
            <w:pPr>
              <w:jc w:val="center"/>
              <w:rPr>
                <w:rFonts w:ascii="Arial Narrow" w:hAnsi="Arial Narrow" w:cs="Calibri"/>
                <w:b/>
                <w:bCs/>
                <w:color w:val="000000"/>
                <w:sz w:val="16"/>
                <w:szCs w:val="16"/>
              </w:rPr>
            </w:pPr>
            <w:r w:rsidRPr="00AF00AE">
              <w:rPr>
                <w:rFonts w:ascii="Arial Narrow" w:hAnsi="Arial Narrow" w:cs="Calibri"/>
                <w:b/>
                <w:bCs/>
                <w:color w:val="000000"/>
                <w:sz w:val="16"/>
                <w:szCs w:val="16"/>
              </w:rPr>
              <w:t>Δ</w:t>
            </w:r>
          </w:p>
        </w:tc>
        <w:tc>
          <w:tcPr>
            <w:tcW w:w="7108" w:type="dxa"/>
            <w:gridSpan w:val="2"/>
            <w:tcBorders>
              <w:top w:val="single" w:sz="4" w:space="0" w:color="auto"/>
              <w:left w:val="nil"/>
              <w:bottom w:val="single" w:sz="4" w:space="0" w:color="auto"/>
              <w:right w:val="nil"/>
            </w:tcBorders>
            <w:shd w:val="clear" w:color="D9D9D9" w:fill="D9D9D9"/>
            <w:noWrap/>
            <w:vAlign w:val="center"/>
            <w:hideMark/>
          </w:tcPr>
          <w:p w:rsidR="00CD2D8A" w:rsidRPr="00AF00AE" w:rsidRDefault="00CD2D8A" w:rsidP="008F24A5">
            <w:pPr>
              <w:jc w:val="both"/>
              <w:rPr>
                <w:rFonts w:ascii="Arial Narrow" w:hAnsi="Arial Narrow" w:cs="Calibri"/>
                <w:b/>
                <w:bCs/>
                <w:color w:val="000000"/>
                <w:sz w:val="16"/>
                <w:szCs w:val="16"/>
              </w:rPr>
            </w:pPr>
            <w:r w:rsidRPr="00AF00AE">
              <w:rPr>
                <w:rFonts w:ascii="Arial Narrow" w:hAnsi="Arial Narrow" w:cs="Calibri"/>
                <w:b/>
                <w:bCs/>
                <w:color w:val="000000"/>
                <w:sz w:val="16"/>
                <w:szCs w:val="16"/>
              </w:rPr>
              <w:t>Παρεμβάσεις παροχής ρευστότητας</w:t>
            </w:r>
          </w:p>
        </w:tc>
        <w:tc>
          <w:tcPr>
            <w:tcW w:w="815" w:type="dxa"/>
            <w:gridSpan w:val="2"/>
            <w:tcBorders>
              <w:top w:val="single" w:sz="4" w:space="0" w:color="auto"/>
              <w:left w:val="nil"/>
              <w:bottom w:val="single" w:sz="4" w:space="0" w:color="auto"/>
              <w:right w:val="nil"/>
            </w:tcBorders>
            <w:shd w:val="clear" w:color="D9D9D9" w:fill="D9D9D9"/>
            <w:noWrap/>
            <w:vAlign w:val="center"/>
            <w:hideMark/>
          </w:tcPr>
          <w:p w:rsidR="00CD2D8A" w:rsidRPr="00AF00AE" w:rsidRDefault="00CD2D8A" w:rsidP="008F24A5">
            <w:pPr>
              <w:ind w:right="170"/>
              <w:jc w:val="right"/>
              <w:rPr>
                <w:rFonts w:ascii="Arial Narrow" w:hAnsi="Arial Narrow"/>
                <w:b/>
                <w:color w:val="000000"/>
                <w:sz w:val="16"/>
                <w:szCs w:val="16"/>
              </w:rPr>
            </w:pPr>
            <w:r w:rsidRPr="00AF00AE">
              <w:rPr>
                <w:rFonts w:ascii="Arial Narrow" w:hAnsi="Arial Narrow"/>
                <w:b/>
                <w:color w:val="000000"/>
                <w:sz w:val="16"/>
                <w:szCs w:val="16"/>
              </w:rPr>
              <w:t>-2.588</w:t>
            </w:r>
          </w:p>
        </w:tc>
        <w:tc>
          <w:tcPr>
            <w:tcW w:w="783" w:type="dxa"/>
            <w:tcBorders>
              <w:top w:val="single" w:sz="4" w:space="0" w:color="auto"/>
              <w:left w:val="nil"/>
              <w:bottom w:val="single" w:sz="4" w:space="0" w:color="auto"/>
              <w:right w:val="single" w:sz="4" w:space="0" w:color="auto"/>
            </w:tcBorders>
            <w:shd w:val="clear" w:color="D9D9D9" w:fill="D9D9D9"/>
            <w:noWrap/>
            <w:vAlign w:val="center"/>
            <w:hideMark/>
          </w:tcPr>
          <w:p w:rsidR="00CD2D8A" w:rsidRPr="00AF00AE" w:rsidRDefault="00CD2D8A" w:rsidP="008F24A5">
            <w:pPr>
              <w:ind w:right="170"/>
              <w:jc w:val="right"/>
              <w:rPr>
                <w:rFonts w:ascii="Arial Narrow" w:hAnsi="Arial Narrow"/>
                <w:b/>
                <w:color w:val="000000"/>
                <w:sz w:val="16"/>
                <w:szCs w:val="16"/>
              </w:rPr>
            </w:pPr>
            <w:r w:rsidRPr="00AF00AE">
              <w:rPr>
                <w:rFonts w:ascii="Arial Narrow" w:hAnsi="Arial Narrow"/>
                <w:b/>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1</w:t>
            </w:r>
          </w:p>
        </w:tc>
        <w:tc>
          <w:tcPr>
            <w:tcW w:w="7108"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jc w:val="both"/>
              <w:rPr>
                <w:rFonts w:ascii="Arial Narrow" w:hAnsi="Arial Narrow" w:cs="Calibri"/>
                <w:color w:val="000000"/>
                <w:sz w:val="16"/>
                <w:szCs w:val="16"/>
              </w:rPr>
            </w:pPr>
            <w:r w:rsidRPr="00AF00AE">
              <w:rPr>
                <w:rFonts w:ascii="Arial Narrow" w:hAnsi="Arial Narrow" w:cs="Calibri"/>
                <w:color w:val="000000"/>
                <w:sz w:val="16"/>
                <w:szCs w:val="16"/>
              </w:rPr>
              <w:t>Ταμείο Εγγυοδοσίας της Ελληνικής Αναπτυξιακής Τράπεζας.</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-2.000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r w:rsidRPr="00AF00AE">
              <w:rPr>
                <w:rFonts w:ascii="Arial Narrow" w:hAnsi="Arial Narrow" w:cs="Calibri"/>
                <w:color w:val="000000"/>
                <w:sz w:val="16"/>
                <w:szCs w:val="16"/>
              </w:rPr>
              <w:t>2</w:t>
            </w:r>
          </w:p>
        </w:tc>
        <w:tc>
          <w:tcPr>
            <w:tcW w:w="7108"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jc w:val="both"/>
              <w:rPr>
                <w:rFonts w:ascii="Arial Narrow" w:hAnsi="Arial Narrow" w:cs="Calibri"/>
                <w:color w:val="000000"/>
                <w:sz w:val="16"/>
                <w:szCs w:val="16"/>
              </w:rPr>
            </w:pPr>
            <w:r w:rsidRPr="00AF00AE">
              <w:rPr>
                <w:rFonts w:ascii="Arial Narrow" w:hAnsi="Arial Narrow" w:cs="Calibri"/>
                <w:color w:val="000000"/>
                <w:sz w:val="16"/>
                <w:szCs w:val="16"/>
              </w:rPr>
              <w:t>Κεφάλαιο κίνησης στο πλαίσιο του Ταμείου Επιχειρηματικότητας (ΤΕΠΙΧ ΙΙ).</w:t>
            </w:r>
          </w:p>
        </w:tc>
        <w:tc>
          <w:tcPr>
            <w:tcW w:w="815" w:type="dxa"/>
            <w:gridSpan w:val="2"/>
            <w:tcBorders>
              <w:top w:val="single" w:sz="4" w:space="0" w:color="auto"/>
              <w:left w:val="nil"/>
              <w:bottom w:val="single" w:sz="4" w:space="0" w:color="auto"/>
              <w:right w:val="nil"/>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-588</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CD2D8A" w:rsidRPr="00AF00AE" w:rsidRDefault="00CD2D8A" w:rsidP="008F24A5">
            <w:pPr>
              <w:ind w:right="170"/>
              <w:jc w:val="right"/>
              <w:rPr>
                <w:rFonts w:ascii="Arial Narrow" w:hAnsi="Arial Narrow" w:cs="Calibri"/>
                <w:color w:val="000000"/>
                <w:sz w:val="16"/>
                <w:szCs w:val="16"/>
                <w:lang w:val="en-US"/>
              </w:rPr>
            </w:pPr>
            <w:r w:rsidRPr="00AF00AE">
              <w:rPr>
                <w:rFonts w:ascii="Arial Narrow" w:hAnsi="Arial Narrow" w:cs="Calibri"/>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shd w:val="clear" w:color="auto" w:fill="D9D9D9"/>
            <w:vAlign w:val="center"/>
          </w:tcPr>
          <w:p w:rsidR="00CD2D8A" w:rsidRPr="002415F6" w:rsidRDefault="00CD2D8A" w:rsidP="008F24A5">
            <w:pPr>
              <w:jc w:val="center"/>
              <w:rPr>
                <w:rFonts w:ascii="Arial Narrow" w:hAnsi="Arial Narrow" w:cs="Calibri"/>
                <w:b/>
                <w:iCs/>
                <w:color w:val="000000"/>
                <w:sz w:val="16"/>
                <w:szCs w:val="16"/>
              </w:rPr>
            </w:pPr>
          </w:p>
        </w:tc>
        <w:tc>
          <w:tcPr>
            <w:tcW w:w="7108" w:type="dxa"/>
            <w:gridSpan w:val="2"/>
            <w:tcBorders>
              <w:top w:val="single" w:sz="4" w:space="0" w:color="auto"/>
              <w:left w:val="nil"/>
              <w:bottom w:val="single" w:sz="4" w:space="0" w:color="auto"/>
              <w:right w:val="nil"/>
            </w:tcBorders>
            <w:shd w:val="clear" w:color="auto" w:fill="D9D9D9"/>
            <w:noWrap/>
            <w:vAlign w:val="center"/>
          </w:tcPr>
          <w:p w:rsidR="00CD2D8A" w:rsidRPr="002415F6" w:rsidRDefault="00CD2D8A" w:rsidP="008F24A5">
            <w:pPr>
              <w:jc w:val="both"/>
              <w:rPr>
                <w:rFonts w:ascii="Arial Narrow" w:hAnsi="Arial Narrow" w:cs="Calibri"/>
                <w:b/>
                <w:iCs/>
                <w:color w:val="000000"/>
                <w:sz w:val="16"/>
                <w:szCs w:val="16"/>
              </w:rPr>
            </w:pPr>
            <w:r w:rsidRPr="002415F6">
              <w:rPr>
                <w:rFonts w:ascii="Arial Narrow" w:hAnsi="Arial Narrow" w:cs="Calibri"/>
                <w:b/>
                <w:iCs/>
                <w:color w:val="000000"/>
                <w:sz w:val="16"/>
                <w:szCs w:val="16"/>
              </w:rPr>
              <w:t>Συνολικό Ταμειακό Κόστος των Παρεμβάσεων ( Α+Β+Γ+Δ)</w:t>
            </w:r>
          </w:p>
        </w:tc>
        <w:tc>
          <w:tcPr>
            <w:tcW w:w="815" w:type="dxa"/>
            <w:gridSpan w:val="2"/>
            <w:tcBorders>
              <w:top w:val="single" w:sz="4" w:space="0" w:color="auto"/>
              <w:left w:val="nil"/>
              <w:bottom w:val="single" w:sz="4" w:space="0" w:color="auto"/>
              <w:right w:val="nil"/>
            </w:tcBorders>
            <w:shd w:val="clear" w:color="auto" w:fill="D9D9D9"/>
            <w:noWrap/>
            <w:vAlign w:val="center"/>
          </w:tcPr>
          <w:p w:rsidR="00CD2D8A" w:rsidRPr="001D7E83" w:rsidRDefault="00CD2D8A" w:rsidP="008F24A5">
            <w:pPr>
              <w:ind w:right="170"/>
              <w:jc w:val="right"/>
              <w:rPr>
                <w:rFonts w:ascii="Arial Narrow" w:hAnsi="Arial Narrow" w:cs="Calibri"/>
                <w:b/>
                <w:iCs/>
                <w:color w:val="000000"/>
                <w:sz w:val="16"/>
                <w:szCs w:val="16"/>
              </w:rPr>
            </w:pPr>
            <w:r w:rsidRPr="001D7E83">
              <w:rPr>
                <w:rFonts w:ascii="Arial Narrow" w:hAnsi="Arial Narrow" w:cs="Calibri"/>
                <w:b/>
                <w:iCs/>
                <w:color w:val="000000"/>
                <w:sz w:val="16"/>
                <w:szCs w:val="16"/>
              </w:rPr>
              <w:t>-15.585</w:t>
            </w:r>
          </w:p>
        </w:tc>
        <w:tc>
          <w:tcPr>
            <w:tcW w:w="783" w:type="dxa"/>
            <w:tcBorders>
              <w:top w:val="single" w:sz="4" w:space="0" w:color="auto"/>
              <w:left w:val="nil"/>
              <w:bottom w:val="single" w:sz="4" w:space="0" w:color="auto"/>
              <w:right w:val="single" w:sz="4" w:space="0" w:color="auto"/>
            </w:tcBorders>
            <w:shd w:val="clear" w:color="auto" w:fill="D9D9D9"/>
            <w:noWrap/>
            <w:vAlign w:val="center"/>
          </w:tcPr>
          <w:p w:rsidR="00CD2D8A" w:rsidRPr="001D7E83" w:rsidRDefault="00CD2D8A" w:rsidP="008F24A5">
            <w:pPr>
              <w:ind w:right="170"/>
              <w:jc w:val="right"/>
              <w:rPr>
                <w:rFonts w:ascii="Arial Narrow" w:hAnsi="Arial Narrow" w:cs="Calibri"/>
                <w:b/>
                <w:iCs/>
                <w:color w:val="000000"/>
                <w:sz w:val="16"/>
                <w:szCs w:val="16"/>
              </w:rPr>
            </w:pPr>
            <w:r w:rsidRPr="001D7E83">
              <w:rPr>
                <w:rFonts w:ascii="Arial Narrow" w:hAnsi="Arial Narrow" w:cs="Calibri"/>
                <w:b/>
                <w:iCs/>
                <w:color w:val="000000"/>
                <w:sz w:val="16"/>
                <w:szCs w:val="16"/>
              </w:rPr>
              <w:t>-2.383</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color w:val="000000"/>
                <w:sz w:val="16"/>
                <w:szCs w:val="16"/>
              </w:rPr>
            </w:pPr>
            <w:r w:rsidRPr="00AF00AE">
              <w:rPr>
                <w:rFonts w:ascii="Arial Narrow" w:hAnsi="Arial Narrow" w:cs="Calibri"/>
                <w:i/>
                <w:color w:val="000000"/>
                <w:sz w:val="16"/>
                <w:szCs w:val="16"/>
              </w:rPr>
              <w:t>Εκ των οποίων:</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1D7E83" w:rsidRDefault="00CD2D8A" w:rsidP="008F24A5">
            <w:pPr>
              <w:ind w:right="170"/>
              <w:jc w:val="right"/>
              <w:rPr>
                <w:rFonts w:ascii="Arial Narrow" w:hAnsi="Arial Narrow" w:cs="Calibri"/>
                <w:color w:val="000000"/>
                <w:sz w:val="16"/>
                <w:szCs w:val="16"/>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1D7E83" w:rsidRDefault="00CD2D8A" w:rsidP="008F24A5">
            <w:pPr>
              <w:ind w:right="170"/>
              <w:jc w:val="right"/>
              <w:rPr>
                <w:rFonts w:ascii="Arial Narrow" w:hAnsi="Arial Narrow" w:cs="Calibri"/>
                <w:color w:val="000000"/>
                <w:sz w:val="16"/>
                <w:szCs w:val="16"/>
              </w:rPr>
            </w:pPr>
          </w:p>
        </w:tc>
      </w:tr>
      <w:tr w:rsidR="00CD2D8A" w:rsidRPr="00172684" w:rsidTr="008F24A5">
        <w:trPr>
          <w:trHeight w:val="20"/>
        </w:trPr>
        <w:tc>
          <w:tcPr>
            <w:tcW w:w="147" w:type="dxa"/>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p>
        </w:tc>
        <w:tc>
          <w:tcPr>
            <w:tcW w:w="7371"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color w:val="000000"/>
                <w:sz w:val="16"/>
                <w:szCs w:val="16"/>
              </w:rPr>
            </w:pPr>
            <w:r w:rsidRPr="00AF00AE">
              <w:rPr>
                <w:rFonts w:ascii="Arial Narrow" w:hAnsi="Arial Narrow" w:cs="Calibri"/>
                <w:i/>
                <w:color w:val="000000"/>
                <w:sz w:val="16"/>
                <w:szCs w:val="16"/>
              </w:rPr>
              <w:t xml:space="preserve">Α. </w:t>
            </w:r>
            <w:r>
              <w:rPr>
                <w:rFonts w:ascii="Arial Narrow" w:hAnsi="Arial Narrow" w:cs="Calibri"/>
                <w:i/>
                <w:color w:val="000000"/>
                <w:sz w:val="16"/>
                <w:szCs w:val="16"/>
              </w:rPr>
              <w:t xml:space="preserve">   </w:t>
            </w:r>
            <w:r w:rsidRPr="00AF00AE">
              <w:rPr>
                <w:rFonts w:ascii="Arial Narrow" w:hAnsi="Arial Narrow" w:cs="Calibri"/>
                <w:i/>
                <w:color w:val="000000"/>
                <w:sz w:val="16"/>
                <w:szCs w:val="16"/>
              </w:rPr>
              <w:t>Παρεμβάσεις που αφορούν στην αναβολή είσπραξης εσόδων</w:t>
            </w:r>
          </w:p>
        </w:tc>
        <w:tc>
          <w:tcPr>
            <w:tcW w:w="851" w:type="dxa"/>
            <w:gridSpan w:val="2"/>
            <w:tcBorders>
              <w:top w:val="single" w:sz="4" w:space="0" w:color="auto"/>
              <w:left w:val="nil"/>
              <w:bottom w:val="single" w:sz="4" w:space="0" w:color="auto"/>
              <w:right w:val="nil"/>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lang w:val="en-US"/>
              </w:rPr>
            </w:pPr>
            <w:r w:rsidRPr="001D7E83">
              <w:rPr>
                <w:rFonts w:ascii="Arial Narrow" w:hAnsi="Arial Narrow" w:cs="Calibri"/>
                <w:i/>
                <w:iCs/>
                <w:color w:val="000000"/>
                <w:sz w:val="16"/>
                <w:szCs w:val="16"/>
                <w:lang w:val="en-US"/>
              </w:rPr>
              <w:t>-1.203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lang w:val="en-US"/>
              </w:rPr>
            </w:pPr>
            <w:r w:rsidRPr="001D7E83">
              <w:rPr>
                <w:rFonts w:ascii="Arial Narrow" w:hAnsi="Arial Narrow" w:cs="Calibri"/>
                <w:i/>
                <w:iCs/>
                <w:color w:val="000000"/>
                <w:sz w:val="16"/>
                <w:szCs w:val="16"/>
                <w:lang w:val="en-US"/>
              </w:rPr>
              <w:t>3</w:t>
            </w:r>
            <w:r w:rsidRPr="001D7E83">
              <w:rPr>
                <w:rFonts w:ascii="Arial Narrow" w:hAnsi="Arial Narrow" w:cs="Calibri"/>
                <w:i/>
                <w:iCs/>
                <w:color w:val="000000"/>
                <w:sz w:val="16"/>
                <w:szCs w:val="16"/>
              </w:rPr>
              <w:t>0</w:t>
            </w:r>
            <w:r w:rsidRPr="001D7E83">
              <w:rPr>
                <w:rFonts w:ascii="Arial Narrow" w:hAnsi="Arial Narrow" w:cs="Calibri"/>
                <w:i/>
                <w:iCs/>
                <w:color w:val="000000"/>
                <w:sz w:val="16"/>
                <w:szCs w:val="16"/>
                <w:lang w:val="en-US"/>
              </w:rPr>
              <w:t>5</w:t>
            </w:r>
          </w:p>
        </w:tc>
      </w:tr>
      <w:tr w:rsidR="00CD2D8A" w:rsidRPr="00172684" w:rsidTr="008F24A5">
        <w:trPr>
          <w:trHeight w:val="20"/>
        </w:trPr>
        <w:tc>
          <w:tcPr>
            <w:tcW w:w="147" w:type="dxa"/>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p>
        </w:tc>
        <w:tc>
          <w:tcPr>
            <w:tcW w:w="7371"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color w:val="000000"/>
                <w:sz w:val="16"/>
                <w:szCs w:val="16"/>
              </w:rPr>
            </w:pPr>
            <w:r>
              <w:rPr>
                <w:rFonts w:ascii="Arial Narrow" w:hAnsi="Arial Narrow" w:cs="Calibri"/>
                <w:i/>
                <w:color w:val="000000"/>
                <w:sz w:val="16"/>
                <w:szCs w:val="16"/>
              </w:rPr>
              <w:t>Β</w:t>
            </w:r>
            <w:r w:rsidRPr="00AF00AE">
              <w:rPr>
                <w:rFonts w:ascii="Arial Narrow" w:hAnsi="Arial Narrow" w:cs="Calibri"/>
                <w:i/>
                <w:color w:val="000000"/>
                <w:sz w:val="16"/>
                <w:szCs w:val="16"/>
              </w:rPr>
              <w:t xml:space="preserve">. </w:t>
            </w:r>
            <w:r>
              <w:rPr>
                <w:rFonts w:ascii="Arial Narrow" w:hAnsi="Arial Narrow" w:cs="Calibri"/>
                <w:i/>
                <w:color w:val="000000"/>
                <w:sz w:val="16"/>
                <w:szCs w:val="16"/>
              </w:rPr>
              <w:t xml:space="preserve">   </w:t>
            </w:r>
            <w:r w:rsidRPr="00AF00AE">
              <w:rPr>
                <w:rFonts w:ascii="Arial Narrow" w:hAnsi="Arial Narrow" w:cs="Calibri"/>
                <w:i/>
                <w:color w:val="000000"/>
                <w:sz w:val="16"/>
                <w:szCs w:val="16"/>
              </w:rPr>
              <w:t xml:space="preserve">Παρεμβάσεις που επιβαρύνουν το δημοσιονομικό αποτέλεσμα </w:t>
            </w:r>
          </w:p>
        </w:tc>
        <w:tc>
          <w:tcPr>
            <w:tcW w:w="851" w:type="dxa"/>
            <w:gridSpan w:val="2"/>
            <w:tcBorders>
              <w:top w:val="single" w:sz="4" w:space="0" w:color="auto"/>
              <w:left w:val="nil"/>
              <w:bottom w:val="single" w:sz="4" w:space="0" w:color="auto"/>
              <w:right w:val="nil"/>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lang w:val="en-US"/>
              </w:rPr>
            </w:pPr>
            <w:r w:rsidRPr="001D7E83">
              <w:rPr>
                <w:rFonts w:ascii="Arial Narrow" w:hAnsi="Arial Narrow" w:cs="Calibri"/>
                <w:i/>
                <w:iCs/>
                <w:color w:val="000000"/>
                <w:sz w:val="16"/>
                <w:szCs w:val="16"/>
                <w:lang w:val="en-US"/>
              </w:rPr>
              <w:t>-11.794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lang w:val="en-US"/>
              </w:rPr>
            </w:pPr>
            <w:r w:rsidRPr="001D7E83">
              <w:rPr>
                <w:rFonts w:ascii="Arial Narrow" w:hAnsi="Arial Narrow" w:cs="Calibri"/>
                <w:i/>
                <w:iCs/>
                <w:color w:val="000000"/>
                <w:sz w:val="16"/>
                <w:szCs w:val="16"/>
                <w:lang w:val="en-US"/>
              </w:rPr>
              <w:t>-2.688</w:t>
            </w:r>
          </w:p>
        </w:tc>
      </w:tr>
      <w:tr w:rsidR="00CD2D8A" w:rsidRPr="00172684" w:rsidTr="008F24A5">
        <w:trPr>
          <w:trHeight w:val="20"/>
        </w:trPr>
        <w:tc>
          <w:tcPr>
            <w:tcW w:w="147" w:type="dxa"/>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color w:val="000000"/>
                <w:sz w:val="16"/>
                <w:szCs w:val="16"/>
              </w:rPr>
            </w:pPr>
          </w:p>
        </w:tc>
        <w:tc>
          <w:tcPr>
            <w:tcW w:w="7371"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color w:val="000000"/>
                <w:sz w:val="16"/>
                <w:szCs w:val="16"/>
              </w:rPr>
            </w:pPr>
            <w:r>
              <w:rPr>
                <w:rFonts w:ascii="Arial Narrow" w:hAnsi="Arial Narrow" w:cs="Calibri"/>
                <w:i/>
                <w:color w:val="000000"/>
                <w:sz w:val="16"/>
                <w:szCs w:val="16"/>
              </w:rPr>
              <w:t>Γ</w:t>
            </w:r>
            <w:r w:rsidRPr="00AF00AE">
              <w:rPr>
                <w:rFonts w:ascii="Arial Narrow" w:hAnsi="Arial Narrow" w:cs="Calibri"/>
                <w:i/>
                <w:color w:val="000000"/>
                <w:sz w:val="16"/>
                <w:szCs w:val="16"/>
              </w:rPr>
              <w:t xml:space="preserve">. </w:t>
            </w:r>
            <w:r>
              <w:rPr>
                <w:rFonts w:ascii="Arial Narrow" w:hAnsi="Arial Narrow" w:cs="Calibri"/>
                <w:i/>
                <w:color w:val="000000"/>
                <w:sz w:val="16"/>
                <w:szCs w:val="16"/>
              </w:rPr>
              <w:t xml:space="preserve">   Παρεμβάσεις παροχής</w:t>
            </w:r>
            <w:r w:rsidRPr="00AF00AE">
              <w:rPr>
                <w:rFonts w:ascii="Arial Narrow" w:hAnsi="Arial Narrow" w:cs="Calibri"/>
                <w:i/>
                <w:color w:val="000000"/>
                <w:sz w:val="16"/>
                <w:szCs w:val="16"/>
              </w:rPr>
              <w:t xml:space="preserve"> ρευστότητας</w:t>
            </w:r>
            <w:r>
              <w:rPr>
                <w:rFonts w:ascii="Arial Narrow" w:hAnsi="Arial Narrow" w:cs="Calibri"/>
                <w:i/>
                <w:color w:val="000000"/>
                <w:sz w:val="16"/>
                <w:szCs w:val="16"/>
              </w:rPr>
              <w:t xml:space="preserve"> (προ μόχλευσης)</w:t>
            </w:r>
          </w:p>
        </w:tc>
        <w:tc>
          <w:tcPr>
            <w:tcW w:w="851" w:type="dxa"/>
            <w:gridSpan w:val="2"/>
            <w:tcBorders>
              <w:top w:val="single" w:sz="4" w:space="0" w:color="auto"/>
              <w:left w:val="nil"/>
              <w:bottom w:val="single" w:sz="4" w:space="0" w:color="auto"/>
              <w:right w:val="nil"/>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lang w:val="en-US"/>
              </w:rPr>
            </w:pPr>
            <w:r w:rsidRPr="001D7E83">
              <w:rPr>
                <w:rFonts w:ascii="Arial Narrow" w:hAnsi="Arial Narrow" w:cs="Calibri"/>
                <w:i/>
                <w:iCs/>
                <w:color w:val="000000"/>
                <w:sz w:val="16"/>
                <w:szCs w:val="16"/>
                <w:lang w:val="en-US"/>
              </w:rPr>
              <w:t>-2.588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lang w:val="en-US"/>
              </w:rPr>
            </w:pPr>
            <w:r w:rsidRPr="001D7E83">
              <w:rPr>
                <w:rFonts w:ascii="Arial Narrow" w:hAnsi="Arial Narrow" w:cs="Calibri"/>
                <w:i/>
                <w:iCs/>
                <w:color w:val="000000"/>
                <w:sz w:val="16"/>
                <w:szCs w:val="16"/>
                <w:lang w:val="en-US"/>
              </w:rPr>
              <w:t>0</w:t>
            </w:r>
          </w:p>
        </w:tc>
      </w:tr>
      <w:tr w:rsidR="00CD2D8A" w:rsidRPr="0022230F" w:rsidTr="008F24A5">
        <w:trPr>
          <w:trHeight w:val="301"/>
        </w:trPr>
        <w:tc>
          <w:tcPr>
            <w:tcW w:w="921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D2D8A" w:rsidRPr="001D7E83" w:rsidRDefault="00CD2D8A" w:rsidP="008F24A5">
            <w:pPr>
              <w:ind w:right="170"/>
              <w:jc w:val="center"/>
              <w:rPr>
                <w:rFonts w:ascii="Arial Narrow" w:hAnsi="Arial Narrow" w:cs="Calibri"/>
                <w:b/>
                <w:iCs/>
                <w:color w:val="000000"/>
                <w:sz w:val="16"/>
                <w:szCs w:val="16"/>
              </w:rPr>
            </w:pPr>
            <w:r w:rsidRPr="001D7E83">
              <w:rPr>
                <w:rFonts w:ascii="Arial Narrow" w:hAnsi="Arial Narrow" w:cs="Calibri"/>
                <w:b/>
                <w:iCs/>
                <w:color w:val="000000"/>
                <w:sz w:val="16"/>
                <w:szCs w:val="16"/>
              </w:rPr>
              <w:t>Παρεμβάσεις ανά κατηγορία και πηγή χρηματοδότησης</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i/>
                <w:iCs/>
                <w:color w:val="000000"/>
                <w:sz w:val="16"/>
                <w:szCs w:val="16"/>
              </w:rPr>
            </w:pPr>
            <w:r w:rsidRPr="00AF00AE">
              <w:rPr>
                <w:rFonts w:ascii="Arial Narrow" w:hAnsi="Arial Narrow" w:cs="Calibri"/>
                <w:i/>
                <w:iCs/>
                <w:color w:val="000000"/>
                <w:sz w:val="16"/>
                <w:szCs w:val="16"/>
              </w:rPr>
              <w:t>1</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iCs/>
                <w:color w:val="000000"/>
                <w:sz w:val="16"/>
                <w:szCs w:val="16"/>
              </w:rPr>
            </w:pPr>
            <w:r w:rsidRPr="00AF00AE">
              <w:rPr>
                <w:rFonts w:ascii="Arial Narrow" w:hAnsi="Arial Narrow" w:cs="Calibri"/>
                <w:i/>
                <w:iCs/>
                <w:color w:val="000000"/>
                <w:sz w:val="16"/>
                <w:szCs w:val="16"/>
              </w:rPr>
              <w:t>Μείωση εσόδων</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rPr>
            </w:pPr>
            <w:r w:rsidRPr="001D7E83">
              <w:rPr>
                <w:rFonts w:ascii="Arial Narrow" w:hAnsi="Arial Narrow" w:cs="Calibri"/>
                <w:i/>
                <w:iCs/>
                <w:color w:val="000000"/>
                <w:sz w:val="16"/>
                <w:szCs w:val="16"/>
                <w:lang w:val="en-US"/>
              </w:rPr>
              <w:t>-4.29</w:t>
            </w:r>
            <w:r w:rsidRPr="001D7E83">
              <w:rPr>
                <w:rFonts w:ascii="Arial Narrow" w:hAnsi="Arial Narrow" w:cs="Calibri"/>
                <w:i/>
                <w:iCs/>
                <w:color w:val="000000"/>
                <w:sz w:val="16"/>
                <w:szCs w:val="16"/>
              </w:rPr>
              <w:t>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rPr>
            </w:pPr>
            <w:r w:rsidRPr="001D7E83">
              <w:rPr>
                <w:rFonts w:ascii="Arial Narrow" w:hAnsi="Arial Narrow" w:cs="Calibri"/>
                <w:i/>
                <w:iCs/>
                <w:color w:val="000000"/>
                <w:sz w:val="16"/>
                <w:szCs w:val="16"/>
              </w:rPr>
              <w:t>-1.775</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i/>
                <w:iCs/>
                <w:color w:val="000000"/>
                <w:sz w:val="16"/>
                <w:szCs w:val="16"/>
              </w:rPr>
            </w:pPr>
            <w:r w:rsidRPr="00AF00AE">
              <w:rPr>
                <w:rFonts w:ascii="Arial Narrow" w:hAnsi="Arial Narrow" w:cs="Calibri"/>
                <w:i/>
                <w:iCs/>
                <w:color w:val="000000"/>
                <w:sz w:val="16"/>
                <w:szCs w:val="16"/>
              </w:rPr>
              <w:t xml:space="preserve">2 </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iCs/>
                <w:color w:val="000000"/>
                <w:sz w:val="16"/>
                <w:szCs w:val="16"/>
              </w:rPr>
            </w:pPr>
            <w:r w:rsidRPr="00AF00AE">
              <w:rPr>
                <w:rFonts w:ascii="Arial Narrow" w:hAnsi="Arial Narrow" w:cs="Calibri"/>
                <w:i/>
                <w:iCs/>
                <w:color w:val="000000"/>
                <w:sz w:val="16"/>
                <w:szCs w:val="16"/>
              </w:rPr>
              <w:t>Δημοσιονομικές δαπάνες που χρηματοδοτούνται από τον Τακτικό Προϋπολογισμό</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lang w:val="en-US"/>
              </w:rPr>
            </w:pPr>
            <w:r w:rsidRPr="001D7E83">
              <w:rPr>
                <w:rFonts w:ascii="Arial Narrow" w:hAnsi="Arial Narrow" w:cs="Calibri"/>
                <w:i/>
                <w:iCs/>
                <w:color w:val="000000"/>
                <w:sz w:val="16"/>
                <w:szCs w:val="16"/>
                <w:lang w:val="en-US"/>
              </w:rPr>
              <w:t>-6.867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1D7E83" w:rsidRDefault="00CD2D8A" w:rsidP="008F24A5">
            <w:pPr>
              <w:ind w:right="170"/>
              <w:jc w:val="right"/>
              <w:rPr>
                <w:rFonts w:ascii="Arial Narrow" w:hAnsi="Arial Narrow" w:cs="Calibri"/>
                <w:i/>
                <w:iCs/>
                <w:color w:val="000000"/>
                <w:sz w:val="16"/>
                <w:szCs w:val="16"/>
              </w:rPr>
            </w:pPr>
            <w:r w:rsidRPr="001D7E83">
              <w:rPr>
                <w:rFonts w:ascii="Arial Narrow" w:hAnsi="Arial Narrow" w:cs="Calibri"/>
                <w:i/>
                <w:iCs/>
                <w:color w:val="000000"/>
                <w:sz w:val="16"/>
                <w:szCs w:val="16"/>
              </w:rPr>
              <w:t>-902</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i/>
                <w:iCs/>
                <w:color w:val="000000"/>
                <w:sz w:val="16"/>
                <w:szCs w:val="16"/>
              </w:rPr>
            </w:pPr>
            <w:r w:rsidRPr="00AF00AE">
              <w:rPr>
                <w:rFonts w:ascii="Arial Narrow" w:hAnsi="Arial Narrow" w:cs="Calibri"/>
                <w:i/>
                <w:iCs/>
                <w:color w:val="000000"/>
                <w:sz w:val="16"/>
                <w:szCs w:val="16"/>
              </w:rPr>
              <w:t>3</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iCs/>
                <w:color w:val="000000"/>
                <w:sz w:val="16"/>
                <w:szCs w:val="16"/>
              </w:rPr>
            </w:pPr>
            <w:r w:rsidRPr="00AF00AE">
              <w:rPr>
                <w:rFonts w:ascii="Arial Narrow" w:hAnsi="Arial Narrow" w:cs="Calibri"/>
                <w:i/>
                <w:iCs/>
                <w:color w:val="000000"/>
                <w:sz w:val="16"/>
                <w:szCs w:val="16"/>
              </w:rPr>
              <w:t>Δημοσιονομικές δαπάνες που χρηματοδοτούνται από το ΠΔΕ</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s="Calibri"/>
                <w:i/>
                <w:iCs/>
                <w:color w:val="000000"/>
                <w:sz w:val="16"/>
                <w:szCs w:val="16"/>
                <w:lang w:val="en-US"/>
              </w:rPr>
            </w:pPr>
            <w:r w:rsidRPr="00AF00AE">
              <w:rPr>
                <w:rFonts w:ascii="Arial Narrow" w:hAnsi="Arial Narrow" w:cs="Calibri"/>
                <w:i/>
                <w:iCs/>
                <w:color w:val="000000"/>
                <w:sz w:val="16"/>
                <w:szCs w:val="16"/>
                <w:lang w:val="en-US"/>
              </w:rPr>
              <w:t>-1.834</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s="Calibri"/>
                <w:i/>
                <w:iCs/>
                <w:color w:val="000000"/>
                <w:sz w:val="16"/>
                <w:szCs w:val="16"/>
              </w:rPr>
            </w:pPr>
            <w:r w:rsidRPr="00AF00AE">
              <w:rPr>
                <w:rFonts w:ascii="Arial Narrow" w:hAnsi="Arial Narrow" w:cs="Calibri"/>
                <w:i/>
                <w:iCs/>
                <w:color w:val="000000"/>
                <w:sz w:val="16"/>
                <w:szCs w:val="16"/>
              </w:rPr>
              <w:t>-11</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i/>
                <w:iCs/>
                <w:color w:val="000000"/>
                <w:sz w:val="16"/>
                <w:szCs w:val="16"/>
              </w:rPr>
            </w:pPr>
            <w:r w:rsidRPr="00AF00AE">
              <w:rPr>
                <w:rFonts w:ascii="Arial Narrow" w:hAnsi="Arial Narrow" w:cs="Calibri"/>
                <w:i/>
                <w:iCs/>
                <w:color w:val="000000"/>
                <w:sz w:val="16"/>
                <w:szCs w:val="16"/>
              </w:rPr>
              <w:t xml:space="preserve">4 </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iCs/>
                <w:color w:val="000000"/>
                <w:sz w:val="16"/>
                <w:szCs w:val="16"/>
              </w:rPr>
            </w:pPr>
            <w:r>
              <w:rPr>
                <w:rFonts w:ascii="Arial Narrow" w:hAnsi="Arial Narrow" w:cs="Calibri"/>
                <w:i/>
                <w:iCs/>
                <w:color w:val="000000"/>
                <w:sz w:val="16"/>
                <w:szCs w:val="16"/>
              </w:rPr>
              <w:t>Χρηματοδοτικά εργαλεία που χρηματοδοτούνται από το</w:t>
            </w:r>
            <w:r w:rsidRPr="00AF00AE">
              <w:rPr>
                <w:rFonts w:ascii="Arial Narrow" w:hAnsi="Arial Narrow" w:cs="Calibri"/>
                <w:i/>
                <w:iCs/>
                <w:color w:val="000000"/>
                <w:sz w:val="16"/>
                <w:szCs w:val="16"/>
              </w:rPr>
              <w:t xml:space="preserve"> ΠΔΕ</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s="Calibri"/>
                <w:i/>
                <w:iCs/>
                <w:color w:val="000000"/>
                <w:sz w:val="16"/>
                <w:szCs w:val="16"/>
                <w:lang w:val="en-US"/>
              </w:rPr>
            </w:pPr>
            <w:r w:rsidRPr="00AF00AE">
              <w:rPr>
                <w:rFonts w:ascii="Arial Narrow" w:hAnsi="Arial Narrow" w:cs="Calibri"/>
                <w:i/>
                <w:iCs/>
                <w:color w:val="000000"/>
                <w:sz w:val="16"/>
                <w:szCs w:val="16"/>
                <w:lang w:val="en-US"/>
              </w:rPr>
              <w:t>-2.588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s="Calibri"/>
                <w:i/>
                <w:iCs/>
                <w:color w:val="000000"/>
                <w:sz w:val="16"/>
                <w:szCs w:val="16"/>
              </w:rPr>
            </w:pPr>
            <w:r w:rsidRPr="00AF00AE">
              <w:rPr>
                <w:rFonts w:ascii="Arial Narrow" w:hAnsi="Arial Narrow" w:cs="Calibri"/>
                <w:i/>
                <w:iCs/>
                <w:color w:val="000000"/>
                <w:sz w:val="16"/>
                <w:szCs w:val="16"/>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vAlign w:val="center"/>
          </w:tcPr>
          <w:p w:rsidR="00CD2D8A" w:rsidRPr="00AF00AE" w:rsidRDefault="00CD2D8A" w:rsidP="008F24A5">
            <w:pPr>
              <w:jc w:val="center"/>
              <w:rPr>
                <w:rFonts w:ascii="Arial Narrow" w:hAnsi="Arial Narrow" w:cs="Calibri"/>
                <w:i/>
                <w:iCs/>
                <w:color w:val="000000"/>
                <w:sz w:val="16"/>
                <w:szCs w:val="16"/>
              </w:rPr>
            </w:pPr>
            <w:r w:rsidRPr="00AF00AE">
              <w:rPr>
                <w:rFonts w:ascii="Arial Narrow" w:hAnsi="Arial Narrow" w:cs="Calibri"/>
                <w:i/>
                <w:iCs/>
                <w:color w:val="000000"/>
                <w:sz w:val="16"/>
                <w:szCs w:val="16"/>
              </w:rPr>
              <w:t>5</w:t>
            </w:r>
          </w:p>
        </w:tc>
        <w:tc>
          <w:tcPr>
            <w:tcW w:w="7108"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jc w:val="both"/>
              <w:rPr>
                <w:rFonts w:ascii="Arial Narrow" w:hAnsi="Arial Narrow" w:cs="Calibri"/>
                <w:i/>
                <w:iCs/>
                <w:color w:val="000000"/>
                <w:sz w:val="16"/>
                <w:szCs w:val="16"/>
              </w:rPr>
            </w:pPr>
            <w:r w:rsidRPr="00AF00AE">
              <w:rPr>
                <w:rFonts w:ascii="Arial Narrow" w:hAnsi="Arial Narrow" w:cs="Calibri"/>
                <w:i/>
                <w:iCs/>
                <w:color w:val="000000"/>
                <w:sz w:val="16"/>
                <w:szCs w:val="16"/>
              </w:rPr>
              <w:t xml:space="preserve">Μόχλευση χρηματοδοτικών εργαλείων </w:t>
            </w:r>
            <w:r>
              <w:rPr>
                <w:rFonts w:ascii="Arial Narrow" w:hAnsi="Arial Narrow" w:cs="Calibri"/>
                <w:i/>
                <w:iCs/>
                <w:color w:val="000000"/>
                <w:sz w:val="16"/>
                <w:szCs w:val="16"/>
              </w:rPr>
              <w:t>που χρηματοδοτούνται από το</w:t>
            </w:r>
            <w:r w:rsidRPr="00AF00AE">
              <w:rPr>
                <w:rFonts w:ascii="Arial Narrow" w:hAnsi="Arial Narrow" w:cs="Calibri"/>
                <w:i/>
                <w:iCs/>
                <w:color w:val="000000"/>
                <w:sz w:val="16"/>
                <w:szCs w:val="16"/>
              </w:rPr>
              <w:t xml:space="preserve"> ΠΔΕ  </w:t>
            </w:r>
          </w:p>
        </w:tc>
        <w:tc>
          <w:tcPr>
            <w:tcW w:w="815" w:type="dxa"/>
            <w:gridSpan w:val="2"/>
            <w:tcBorders>
              <w:top w:val="single" w:sz="4" w:space="0" w:color="auto"/>
              <w:left w:val="nil"/>
              <w:bottom w:val="single" w:sz="4" w:space="0" w:color="auto"/>
              <w:right w:val="nil"/>
            </w:tcBorders>
            <w:shd w:val="clear" w:color="auto" w:fill="auto"/>
            <w:noWrap/>
            <w:vAlign w:val="center"/>
          </w:tcPr>
          <w:p w:rsidR="00CD2D8A" w:rsidRPr="00AF00AE" w:rsidRDefault="00CD2D8A" w:rsidP="008F24A5">
            <w:pPr>
              <w:ind w:right="170"/>
              <w:jc w:val="right"/>
              <w:rPr>
                <w:rFonts w:ascii="Arial Narrow" w:hAnsi="Arial Narrow" w:cs="Calibri"/>
                <w:i/>
                <w:iCs/>
                <w:color w:val="000000"/>
                <w:sz w:val="16"/>
                <w:szCs w:val="16"/>
                <w:lang w:val="en-US"/>
              </w:rPr>
            </w:pPr>
            <w:r w:rsidRPr="00AF00AE">
              <w:rPr>
                <w:rFonts w:ascii="Arial Narrow" w:hAnsi="Arial Narrow" w:cs="Calibri"/>
                <w:i/>
                <w:iCs/>
                <w:color w:val="000000"/>
                <w:sz w:val="16"/>
                <w:szCs w:val="16"/>
                <w:lang w:val="en-US"/>
              </w:rPr>
              <w:t>-5.883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CD2D8A" w:rsidRPr="00AF00AE" w:rsidRDefault="00CD2D8A" w:rsidP="008F24A5">
            <w:pPr>
              <w:ind w:right="170"/>
              <w:jc w:val="right"/>
              <w:rPr>
                <w:rFonts w:ascii="Arial Narrow" w:hAnsi="Arial Narrow" w:cs="Calibri"/>
                <w:i/>
                <w:iCs/>
                <w:color w:val="000000"/>
                <w:sz w:val="16"/>
                <w:szCs w:val="16"/>
                <w:lang w:val="en-US"/>
              </w:rPr>
            </w:pPr>
            <w:r w:rsidRPr="00AF00AE">
              <w:rPr>
                <w:rFonts w:ascii="Arial Narrow" w:hAnsi="Arial Narrow" w:cs="Calibri"/>
                <w:i/>
                <w:iCs/>
                <w:color w:val="000000"/>
                <w:sz w:val="16"/>
                <w:szCs w:val="16"/>
                <w:lang w:val="en-US"/>
              </w:rPr>
              <w:t>0</w:t>
            </w:r>
          </w:p>
        </w:tc>
      </w:tr>
      <w:tr w:rsidR="00CD2D8A" w:rsidRPr="00172684" w:rsidTr="008F24A5">
        <w:trPr>
          <w:trHeight w:val="20"/>
        </w:trPr>
        <w:tc>
          <w:tcPr>
            <w:tcW w:w="513" w:type="dxa"/>
            <w:gridSpan w:val="2"/>
            <w:tcBorders>
              <w:top w:val="single" w:sz="4" w:space="0" w:color="auto"/>
              <w:left w:val="single" w:sz="4" w:space="0" w:color="auto"/>
              <w:bottom w:val="single" w:sz="4" w:space="0" w:color="auto"/>
              <w:right w:val="nil"/>
            </w:tcBorders>
            <w:shd w:val="clear" w:color="auto" w:fill="D9D9D9"/>
            <w:vAlign w:val="center"/>
          </w:tcPr>
          <w:p w:rsidR="00CD2D8A" w:rsidRPr="00AF00AE" w:rsidRDefault="00CD2D8A" w:rsidP="008F24A5">
            <w:pPr>
              <w:jc w:val="center"/>
              <w:rPr>
                <w:rFonts w:ascii="Arial Narrow" w:hAnsi="Arial Narrow" w:cs="Calibri"/>
                <w:i/>
                <w:iCs/>
                <w:color w:val="000000"/>
                <w:sz w:val="16"/>
                <w:szCs w:val="16"/>
              </w:rPr>
            </w:pPr>
          </w:p>
        </w:tc>
        <w:tc>
          <w:tcPr>
            <w:tcW w:w="7108" w:type="dxa"/>
            <w:gridSpan w:val="2"/>
            <w:tcBorders>
              <w:top w:val="single" w:sz="4" w:space="0" w:color="auto"/>
              <w:left w:val="nil"/>
              <w:bottom w:val="single" w:sz="4" w:space="0" w:color="auto"/>
              <w:right w:val="nil"/>
            </w:tcBorders>
            <w:shd w:val="clear" w:color="auto" w:fill="D9D9D9"/>
            <w:noWrap/>
            <w:vAlign w:val="center"/>
          </w:tcPr>
          <w:p w:rsidR="00CD2D8A" w:rsidRPr="00AF00AE" w:rsidRDefault="00CD2D8A" w:rsidP="008F24A5">
            <w:pPr>
              <w:rPr>
                <w:rFonts w:ascii="Arial Narrow" w:hAnsi="Arial Narrow" w:cs="Calibri"/>
                <w:i/>
                <w:iCs/>
                <w:color w:val="000000"/>
                <w:sz w:val="16"/>
                <w:szCs w:val="16"/>
              </w:rPr>
            </w:pPr>
            <w:r w:rsidRPr="00AF00AE">
              <w:rPr>
                <w:rFonts w:ascii="Arial Narrow" w:hAnsi="Arial Narrow" w:cs="Calibri"/>
                <w:b/>
                <w:bCs/>
                <w:color w:val="000000"/>
                <w:sz w:val="16"/>
                <w:szCs w:val="16"/>
              </w:rPr>
              <w:t>Συνολική Αξία των Παρεμβάσεων ( 1 + 2 + 3 + 4 + 5)</w:t>
            </w:r>
          </w:p>
        </w:tc>
        <w:tc>
          <w:tcPr>
            <w:tcW w:w="815" w:type="dxa"/>
            <w:gridSpan w:val="2"/>
            <w:tcBorders>
              <w:top w:val="single" w:sz="4" w:space="0" w:color="auto"/>
              <w:left w:val="nil"/>
              <w:bottom w:val="single" w:sz="4" w:space="0" w:color="auto"/>
              <w:right w:val="nil"/>
            </w:tcBorders>
            <w:shd w:val="clear" w:color="auto" w:fill="D9D9D9"/>
            <w:noWrap/>
            <w:vAlign w:val="center"/>
          </w:tcPr>
          <w:p w:rsidR="00CD2D8A" w:rsidRPr="00AF00AE" w:rsidRDefault="00CD2D8A" w:rsidP="008F24A5">
            <w:pPr>
              <w:ind w:right="170"/>
              <w:jc w:val="right"/>
              <w:rPr>
                <w:rFonts w:ascii="Arial Narrow" w:hAnsi="Arial Narrow" w:cs="Calibri"/>
                <w:b/>
                <w:iCs/>
                <w:color w:val="000000"/>
                <w:sz w:val="16"/>
                <w:szCs w:val="16"/>
                <w:lang w:val="en-US"/>
              </w:rPr>
            </w:pPr>
            <w:r w:rsidRPr="00AF00AE">
              <w:rPr>
                <w:rFonts w:ascii="Arial Narrow" w:hAnsi="Arial Narrow" w:cs="Calibri"/>
                <w:b/>
                <w:iCs/>
                <w:color w:val="000000"/>
                <w:sz w:val="16"/>
                <w:szCs w:val="16"/>
                <w:lang w:val="en-US"/>
              </w:rPr>
              <w:t>-21.468</w:t>
            </w:r>
          </w:p>
        </w:tc>
        <w:tc>
          <w:tcPr>
            <w:tcW w:w="783" w:type="dxa"/>
            <w:tcBorders>
              <w:top w:val="single" w:sz="4" w:space="0" w:color="auto"/>
              <w:left w:val="nil"/>
              <w:bottom w:val="single" w:sz="4" w:space="0" w:color="auto"/>
              <w:right w:val="single" w:sz="4" w:space="0" w:color="auto"/>
            </w:tcBorders>
            <w:shd w:val="clear" w:color="auto" w:fill="D9D9D9"/>
            <w:noWrap/>
            <w:vAlign w:val="center"/>
          </w:tcPr>
          <w:p w:rsidR="00CD2D8A" w:rsidRPr="00AF00AE" w:rsidRDefault="00CD2D8A" w:rsidP="008F24A5">
            <w:pPr>
              <w:ind w:right="170"/>
              <w:jc w:val="right"/>
              <w:rPr>
                <w:rFonts w:ascii="Arial Narrow" w:hAnsi="Arial Narrow" w:cs="Calibri"/>
                <w:b/>
                <w:iCs/>
                <w:color w:val="000000"/>
                <w:sz w:val="16"/>
                <w:szCs w:val="16"/>
              </w:rPr>
            </w:pPr>
            <w:r w:rsidRPr="00AF00AE">
              <w:rPr>
                <w:rFonts w:ascii="Arial Narrow" w:hAnsi="Arial Narrow" w:cs="Calibri"/>
                <w:b/>
                <w:iCs/>
                <w:color w:val="000000"/>
                <w:sz w:val="16"/>
                <w:szCs w:val="16"/>
                <w:lang w:val="en-US"/>
              </w:rPr>
              <w:t>-2.</w:t>
            </w:r>
            <w:r w:rsidRPr="00AF00AE">
              <w:rPr>
                <w:rFonts w:ascii="Arial Narrow" w:hAnsi="Arial Narrow" w:cs="Calibri"/>
                <w:b/>
                <w:iCs/>
                <w:color w:val="000000"/>
                <w:sz w:val="16"/>
                <w:szCs w:val="16"/>
              </w:rPr>
              <w:t>688</w:t>
            </w:r>
          </w:p>
        </w:tc>
      </w:tr>
      <w:tr w:rsidR="00CD2D8A" w:rsidRPr="00172684" w:rsidTr="008F24A5">
        <w:trPr>
          <w:trHeight w:val="20"/>
        </w:trPr>
        <w:tc>
          <w:tcPr>
            <w:tcW w:w="9219" w:type="dxa"/>
            <w:gridSpan w:val="7"/>
            <w:tcBorders>
              <w:top w:val="single" w:sz="4" w:space="0" w:color="auto"/>
              <w:left w:val="single" w:sz="4" w:space="0" w:color="auto"/>
              <w:bottom w:val="single" w:sz="4" w:space="0" w:color="auto"/>
              <w:right w:val="single" w:sz="4" w:space="0" w:color="auto"/>
            </w:tcBorders>
            <w:vAlign w:val="center"/>
          </w:tcPr>
          <w:p w:rsidR="00CD2D8A" w:rsidRPr="00172684" w:rsidRDefault="00CD2D8A" w:rsidP="008F24A5">
            <w:pPr>
              <w:rPr>
                <w:rFonts w:ascii="Arial Narrow" w:hAnsi="Arial Narrow" w:cs="Calibri"/>
                <w:i/>
                <w:iCs/>
                <w:color w:val="000000"/>
                <w:sz w:val="16"/>
                <w:szCs w:val="16"/>
              </w:rPr>
            </w:pPr>
            <w:r w:rsidRPr="00172684">
              <w:rPr>
                <w:rFonts w:ascii="Arial Narrow" w:hAnsi="Arial Narrow" w:cs="Calibri"/>
                <w:i/>
                <w:iCs/>
                <w:color w:val="000000"/>
                <w:sz w:val="16"/>
                <w:szCs w:val="16"/>
              </w:rPr>
              <w:t>Σημείωση: το θετικό πρόσημο (+) δηλώνει αύξηση εσόδου ή μείωση δαπάνης και το αρνητικό πρόσημο (-) δηλώνει μείωση εσόδου ή αύξηση  δαπάνης</w:t>
            </w:r>
          </w:p>
        </w:tc>
      </w:tr>
    </w:tbl>
    <w:p w:rsidR="00CD2D8A" w:rsidRDefault="00CD2D8A" w:rsidP="00CD2D8A">
      <w:pPr>
        <w:jc w:val="both"/>
        <w:rPr>
          <w:strike/>
          <w:szCs w:val="22"/>
        </w:rPr>
      </w:pPr>
    </w:p>
    <w:p w:rsidR="00CD2D8A" w:rsidRDefault="00CD2D8A" w:rsidP="00CD2D8A">
      <w:pPr>
        <w:jc w:val="both"/>
        <w:rPr>
          <w:u w:val="single"/>
        </w:rPr>
      </w:pPr>
    </w:p>
    <w:p w:rsidR="00CD2D8A" w:rsidRPr="00D73C35" w:rsidRDefault="00CD2D8A" w:rsidP="00CD2D8A">
      <w:pPr>
        <w:jc w:val="both"/>
        <w:rPr>
          <w:rFonts w:ascii="Arial Narrow" w:hAnsi="Arial Narrow"/>
          <w:b/>
          <w:bCs/>
          <w:color w:val="000080"/>
          <w:szCs w:val="22"/>
        </w:rPr>
      </w:pPr>
      <w:r w:rsidRPr="00D73C35">
        <w:rPr>
          <w:rFonts w:ascii="Arial Narrow" w:hAnsi="Arial Narrow"/>
          <w:b/>
          <w:bCs/>
          <w:color w:val="000080"/>
          <w:szCs w:val="22"/>
        </w:rPr>
        <w:t>Λοιπές δημοσιονομικές παρεμβάσεις</w:t>
      </w:r>
    </w:p>
    <w:p w:rsidR="00CD2D8A" w:rsidRDefault="00CD2D8A" w:rsidP="00CD2D8A">
      <w:pPr>
        <w:jc w:val="both"/>
      </w:pPr>
    </w:p>
    <w:p w:rsidR="00CD2D8A" w:rsidRPr="009E012D" w:rsidRDefault="00CD2D8A" w:rsidP="00CD2D8A">
      <w:pPr>
        <w:jc w:val="both"/>
      </w:pPr>
      <w:r>
        <w:t xml:space="preserve">Εκτός από τις δημοσιονομικές παρεμβάσεις που αναφέρονται στην αντιμετώπιση των οικονομικών συνεπειών της πανδημίας, </w:t>
      </w:r>
      <w:r w:rsidR="008A3B9A">
        <w:t>η δημοσιονομική αποτύπωση</w:t>
      </w:r>
      <w:r>
        <w:t xml:space="preserve"> τ</w:t>
      </w:r>
      <w:r w:rsidR="00914D7F">
        <w:t>ων ετών</w:t>
      </w:r>
      <w:r>
        <w:t xml:space="preserve"> 2020 και 2021 επηρεάζεται από μια σειρά άλλων παρεμβάσεων που αφορούν</w:t>
      </w:r>
      <w:r w:rsidR="00914D7F">
        <w:t>,</w:t>
      </w:r>
      <w:r>
        <w:t xml:space="preserve"> είτε αντιμετώπιση έκτακτων υποχρεώσεων του κράτους και ζημίες από φυσικές καταστροφές, είτε νέες αναπτυξιακές παρεμβάσεις. Αυτές </w:t>
      </w:r>
      <w:r w:rsidR="00914D7F">
        <w:t>περιλαμβάνουν</w:t>
      </w:r>
      <w:r w:rsidRPr="009E012D">
        <w:t>:</w:t>
      </w:r>
    </w:p>
    <w:p w:rsidR="00CD2D8A" w:rsidRPr="00907081" w:rsidRDefault="00CD2D8A" w:rsidP="00CD2D8A">
      <w:pPr>
        <w:jc w:val="both"/>
      </w:pPr>
    </w:p>
    <w:p w:rsidR="00CD2D8A" w:rsidRPr="00907081" w:rsidRDefault="00914D7F"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00CD2D8A" w:rsidRPr="00907081">
        <w:rPr>
          <w:rFonts w:ascii="Times New Roman" w:eastAsia="Times New Roman" w:hAnsi="Times New Roman"/>
          <w:sz w:val="24"/>
          <w:szCs w:val="24"/>
          <w:lang w:eastAsia="el-GR"/>
        </w:rPr>
        <w:t>ην καταβολή αναδρομικών ποσών σε συνταξιούχους δημόσιου και ιδιωτικού τομέα</w:t>
      </w:r>
      <w:r>
        <w:rPr>
          <w:rFonts w:ascii="Times New Roman" w:eastAsia="Times New Roman" w:hAnsi="Times New Roman"/>
          <w:sz w:val="24"/>
          <w:szCs w:val="24"/>
          <w:lang w:eastAsia="el-GR"/>
        </w:rPr>
        <w:t>,</w:t>
      </w:r>
      <w:r w:rsidR="00CD2D8A" w:rsidRPr="00907081">
        <w:rPr>
          <w:rFonts w:ascii="Times New Roman" w:eastAsia="Times New Roman" w:hAnsi="Times New Roman"/>
          <w:sz w:val="24"/>
          <w:szCs w:val="24"/>
          <w:lang w:eastAsia="el-GR"/>
        </w:rPr>
        <w:t xml:space="preserve"> ύψους 1,4 </w:t>
      </w:r>
      <w:r w:rsidR="008F24A5">
        <w:rPr>
          <w:rFonts w:ascii="Times New Roman" w:eastAsia="Times New Roman" w:hAnsi="Times New Roman"/>
          <w:sz w:val="24"/>
          <w:szCs w:val="24"/>
          <w:lang w:eastAsia="el-GR"/>
        </w:rPr>
        <w:t>δισ.</w:t>
      </w:r>
      <w:r w:rsidR="00CD2D8A" w:rsidRPr="00907081">
        <w:rPr>
          <w:rFonts w:ascii="Times New Roman" w:eastAsia="Times New Roman" w:hAnsi="Times New Roman"/>
          <w:sz w:val="24"/>
          <w:szCs w:val="24"/>
          <w:lang w:eastAsia="el-GR"/>
        </w:rPr>
        <w:t xml:space="preserve"> ευρώ το 2020</w:t>
      </w:r>
      <w:r w:rsidR="00CD2D8A">
        <w:rPr>
          <w:rFonts w:ascii="Times New Roman" w:eastAsia="Times New Roman" w:hAnsi="Times New Roman"/>
          <w:sz w:val="24"/>
          <w:szCs w:val="24"/>
          <w:lang w:eastAsia="el-GR"/>
        </w:rPr>
        <w:t>,</w:t>
      </w:r>
    </w:p>
    <w:p w:rsidR="00CD2D8A" w:rsidRPr="00907081"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907081">
        <w:rPr>
          <w:rFonts w:ascii="Times New Roman" w:eastAsia="Times New Roman" w:hAnsi="Times New Roman"/>
          <w:sz w:val="24"/>
          <w:szCs w:val="24"/>
          <w:lang w:eastAsia="el-GR"/>
        </w:rPr>
        <w:t>ην αντιμετώπιση των ζημιών από φυσικές καταστροφές που αναμένεται να ξεπερά</w:t>
      </w:r>
      <w:r>
        <w:rPr>
          <w:rFonts w:ascii="Times New Roman" w:eastAsia="Times New Roman" w:hAnsi="Times New Roman"/>
          <w:sz w:val="24"/>
          <w:szCs w:val="24"/>
          <w:lang w:eastAsia="el-GR"/>
        </w:rPr>
        <w:t xml:space="preserve">σουν τα 200 </w:t>
      </w:r>
      <w:r w:rsidR="008F24A5">
        <w:rPr>
          <w:rFonts w:ascii="Times New Roman" w:eastAsia="Times New Roman" w:hAnsi="Times New Roman"/>
          <w:sz w:val="24"/>
          <w:szCs w:val="24"/>
          <w:lang w:eastAsia="el-GR"/>
        </w:rPr>
        <w:t>εκατ.</w:t>
      </w:r>
      <w:r>
        <w:rPr>
          <w:rFonts w:ascii="Times New Roman" w:eastAsia="Times New Roman" w:hAnsi="Times New Roman"/>
          <w:sz w:val="24"/>
          <w:szCs w:val="24"/>
          <w:lang w:eastAsia="el-GR"/>
        </w:rPr>
        <w:t xml:space="preserve"> ευρώ το 2020,</w:t>
      </w:r>
    </w:p>
    <w:p w:rsidR="00CD2D8A"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τ</w:t>
      </w:r>
      <w:r w:rsidRPr="00907081">
        <w:rPr>
          <w:rFonts w:ascii="Times New Roman" w:eastAsia="Times New Roman" w:hAnsi="Times New Roman"/>
          <w:sz w:val="24"/>
          <w:szCs w:val="24"/>
          <w:lang w:eastAsia="el-GR"/>
        </w:rPr>
        <w:t>ην εξ</w:t>
      </w:r>
      <w:r w:rsidR="00914D7F">
        <w:rPr>
          <w:rFonts w:ascii="Times New Roman" w:eastAsia="Times New Roman" w:hAnsi="Times New Roman"/>
          <w:sz w:val="24"/>
          <w:szCs w:val="24"/>
          <w:lang w:eastAsia="el-GR"/>
        </w:rPr>
        <w:t>αίρεση της δαπάνης των εμβολίων</w:t>
      </w:r>
      <w:r w:rsidRPr="00907081">
        <w:rPr>
          <w:rFonts w:ascii="Times New Roman" w:eastAsia="Times New Roman" w:hAnsi="Times New Roman"/>
          <w:sz w:val="24"/>
          <w:szCs w:val="24"/>
          <w:lang w:eastAsia="el-GR"/>
        </w:rPr>
        <w:t xml:space="preserve"> που εντάσσονται στο πρόγραμμα εθνικού εμβολιασμού, από το όριο της φαρμακευτικής δαπάνης του ΕΟΠΥΥ</w:t>
      </w:r>
      <w:r w:rsidR="00914D7F">
        <w:rPr>
          <w:rFonts w:ascii="Times New Roman" w:eastAsia="Times New Roman" w:hAnsi="Times New Roman"/>
          <w:sz w:val="24"/>
          <w:szCs w:val="24"/>
          <w:lang w:eastAsia="el-GR"/>
        </w:rPr>
        <w:t>,</w:t>
      </w:r>
      <w:r w:rsidRPr="00907081">
        <w:rPr>
          <w:rFonts w:ascii="Times New Roman" w:eastAsia="Times New Roman" w:hAnsi="Times New Roman"/>
          <w:sz w:val="24"/>
          <w:szCs w:val="24"/>
          <w:lang w:eastAsia="el-GR"/>
        </w:rPr>
        <w:t xml:space="preserve"> με δημοσιονομικό κόστος 100 </w:t>
      </w:r>
      <w:r w:rsidR="008F24A5">
        <w:rPr>
          <w:rFonts w:ascii="Times New Roman" w:eastAsia="Times New Roman" w:hAnsi="Times New Roman"/>
          <w:sz w:val="24"/>
          <w:szCs w:val="24"/>
          <w:lang w:eastAsia="el-GR"/>
        </w:rPr>
        <w:t>εκατ.</w:t>
      </w:r>
      <w:r w:rsidRPr="00907081">
        <w:rPr>
          <w:rFonts w:ascii="Times New Roman" w:eastAsia="Times New Roman" w:hAnsi="Times New Roman"/>
          <w:sz w:val="24"/>
          <w:szCs w:val="24"/>
          <w:lang w:eastAsia="el-GR"/>
        </w:rPr>
        <w:t xml:space="preserve"> ευρώ για το 2020 και 170 </w:t>
      </w:r>
      <w:r w:rsidR="008F24A5">
        <w:rPr>
          <w:rFonts w:ascii="Times New Roman" w:eastAsia="Times New Roman" w:hAnsi="Times New Roman"/>
          <w:sz w:val="24"/>
          <w:szCs w:val="24"/>
          <w:lang w:eastAsia="el-GR"/>
        </w:rPr>
        <w:t>εκατ.</w:t>
      </w:r>
      <w:r w:rsidRPr="00907081">
        <w:rPr>
          <w:rFonts w:ascii="Times New Roman" w:eastAsia="Times New Roman" w:hAnsi="Times New Roman"/>
          <w:sz w:val="24"/>
          <w:szCs w:val="24"/>
          <w:lang w:eastAsia="el-GR"/>
        </w:rPr>
        <w:t xml:space="preserve"> </w:t>
      </w:r>
      <w:r w:rsidR="00914D7F">
        <w:rPr>
          <w:rFonts w:ascii="Times New Roman" w:eastAsia="Times New Roman" w:hAnsi="Times New Roman"/>
          <w:sz w:val="24"/>
          <w:szCs w:val="24"/>
          <w:lang w:eastAsia="el-GR"/>
        </w:rPr>
        <w:t xml:space="preserve">ευρώ </w:t>
      </w:r>
      <w:r w:rsidRPr="00907081">
        <w:rPr>
          <w:rFonts w:ascii="Times New Roman" w:eastAsia="Times New Roman" w:hAnsi="Times New Roman"/>
          <w:sz w:val="24"/>
          <w:szCs w:val="24"/>
          <w:lang w:eastAsia="el-GR"/>
        </w:rPr>
        <w:t xml:space="preserve">για το </w:t>
      </w:r>
      <w:r>
        <w:rPr>
          <w:rFonts w:ascii="Times New Roman" w:eastAsia="Times New Roman" w:hAnsi="Times New Roman"/>
          <w:sz w:val="24"/>
          <w:szCs w:val="24"/>
          <w:lang w:eastAsia="el-GR"/>
        </w:rPr>
        <w:t>έτος 2021,</w:t>
      </w:r>
    </w:p>
    <w:p w:rsidR="00C65054" w:rsidRDefault="00C65054" w:rsidP="00C65054">
      <w:pPr>
        <w:pStyle w:val="ListParagraph"/>
        <w:numPr>
          <w:ilvl w:val="0"/>
          <w:numId w:val="15"/>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τ</w:t>
      </w:r>
      <w:r w:rsidRPr="00084860">
        <w:rPr>
          <w:rFonts w:ascii="Times New Roman" w:hAnsi="Times New Roman"/>
          <w:sz w:val="24"/>
          <w:szCs w:val="24"/>
        </w:rPr>
        <w:t xml:space="preserve">ο πρόγραμμα εξόφλησης ληξιπρόθεσμων οφειλών των ΟΤΑ </w:t>
      </w:r>
      <w:r>
        <w:rPr>
          <w:rFonts w:ascii="Times New Roman" w:hAnsi="Times New Roman"/>
          <w:sz w:val="24"/>
          <w:szCs w:val="24"/>
        </w:rPr>
        <w:t>ύψους</w:t>
      </w:r>
      <w:r w:rsidRPr="00084860">
        <w:rPr>
          <w:rFonts w:ascii="Times New Roman" w:hAnsi="Times New Roman"/>
          <w:sz w:val="24"/>
          <w:szCs w:val="24"/>
        </w:rPr>
        <w:t xml:space="preserve"> περίπου 116 εκατ. ευρώ</w:t>
      </w:r>
      <w:r>
        <w:rPr>
          <w:rFonts w:ascii="Times New Roman" w:hAnsi="Times New Roman"/>
          <w:sz w:val="24"/>
          <w:szCs w:val="24"/>
        </w:rPr>
        <w:t xml:space="preserve"> και η έκτακτη επιχορήγησή τους κατά 95 εκατ. ευρώ </w:t>
      </w:r>
      <w:r w:rsidR="00323232">
        <w:rPr>
          <w:rFonts w:ascii="Times New Roman" w:hAnsi="Times New Roman"/>
          <w:sz w:val="24"/>
          <w:szCs w:val="24"/>
        </w:rPr>
        <w:t>το 2020</w:t>
      </w:r>
      <w:r>
        <w:rPr>
          <w:rFonts w:ascii="Times New Roman" w:hAnsi="Times New Roman"/>
          <w:sz w:val="24"/>
          <w:szCs w:val="24"/>
        </w:rPr>
        <w:t>,</w:t>
      </w:r>
    </w:p>
    <w:p w:rsidR="00C65054" w:rsidRPr="00084860" w:rsidRDefault="00C65054" w:rsidP="00C65054">
      <w:pPr>
        <w:pStyle w:val="ListParagraph"/>
        <w:numPr>
          <w:ilvl w:val="0"/>
          <w:numId w:val="15"/>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την αυξημένη επιχορήγηση προς τον ΕΟΠΥΥ κατά 330 εκατ. ευρώ</w:t>
      </w:r>
      <w:r w:rsidR="00323232">
        <w:rPr>
          <w:rFonts w:ascii="Times New Roman" w:hAnsi="Times New Roman"/>
          <w:sz w:val="24"/>
          <w:szCs w:val="24"/>
        </w:rPr>
        <w:t xml:space="preserve"> το 2020</w:t>
      </w:r>
      <w:r>
        <w:rPr>
          <w:rFonts w:ascii="Times New Roman" w:hAnsi="Times New Roman"/>
          <w:sz w:val="24"/>
          <w:szCs w:val="24"/>
        </w:rPr>
        <w:t>,</w:t>
      </w:r>
    </w:p>
    <w:p w:rsidR="00CD2D8A" w:rsidRPr="00907081"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00914D7F">
        <w:rPr>
          <w:rFonts w:ascii="Times New Roman" w:eastAsia="Times New Roman" w:hAnsi="Times New Roman"/>
          <w:sz w:val="24"/>
          <w:szCs w:val="24"/>
          <w:lang w:eastAsia="el-GR"/>
        </w:rPr>
        <w:t>η</w:t>
      </w:r>
      <w:r w:rsidRPr="00907081">
        <w:rPr>
          <w:rFonts w:ascii="Times New Roman" w:eastAsia="Times New Roman" w:hAnsi="Times New Roman"/>
          <w:sz w:val="24"/>
          <w:szCs w:val="24"/>
          <w:lang w:eastAsia="el-GR"/>
        </w:rPr>
        <w:t xml:space="preserve"> θέσπιση του κώδικα διευθέτησης οφειλών και παροχής δεύτερης ευκαιρίας σε δανειολήπτες</w:t>
      </w:r>
      <w:r w:rsidR="00914D7F">
        <w:rPr>
          <w:rFonts w:ascii="Times New Roman" w:eastAsia="Times New Roman" w:hAnsi="Times New Roman"/>
          <w:sz w:val="24"/>
          <w:szCs w:val="24"/>
          <w:lang w:eastAsia="el-GR"/>
        </w:rPr>
        <w:t>,</w:t>
      </w:r>
      <w:r w:rsidRPr="00907081">
        <w:rPr>
          <w:rFonts w:ascii="Times New Roman" w:eastAsia="Times New Roman" w:hAnsi="Times New Roman"/>
          <w:sz w:val="24"/>
          <w:szCs w:val="24"/>
          <w:lang w:eastAsia="el-GR"/>
        </w:rPr>
        <w:t xml:space="preserve"> με δημοσιονομικό κόστος 100 </w:t>
      </w:r>
      <w:r w:rsidR="008F24A5">
        <w:rPr>
          <w:rFonts w:ascii="Times New Roman" w:eastAsia="Times New Roman" w:hAnsi="Times New Roman"/>
          <w:sz w:val="24"/>
          <w:szCs w:val="24"/>
          <w:lang w:eastAsia="el-GR"/>
        </w:rPr>
        <w:t>εκατ.</w:t>
      </w:r>
      <w:r w:rsidRPr="00907081">
        <w:rPr>
          <w:rFonts w:ascii="Times New Roman" w:eastAsia="Times New Roman" w:hAnsi="Times New Roman"/>
          <w:sz w:val="24"/>
          <w:szCs w:val="24"/>
          <w:lang w:eastAsia="el-GR"/>
        </w:rPr>
        <w:t xml:space="preserve"> ευρ</w:t>
      </w:r>
      <w:r>
        <w:rPr>
          <w:rFonts w:ascii="Times New Roman" w:eastAsia="Times New Roman" w:hAnsi="Times New Roman"/>
          <w:sz w:val="24"/>
          <w:szCs w:val="24"/>
          <w:lang w:eastAsia="el-GR"/>
        </w:rPr>
        <w:t>ώ για το 2021,</w:t>
      </w:r>
    </w:p>
    <w:p w:rsidR="00CD2D8A" w:rsidRPr="00907081"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907081">
        <w:rPr>
          <w:rFonts w:ascii="Times New Roman" w:eastAsia="Times New Roman" w:hAnsi="Times New Roman"/>
          <w:sz w:val="24"/>
          <w:szCs w:val="24"/>
          <w:lang w:eastAsia="el-GR"/>
        </w:rPr>
        <w:t xml:space="preserve">ην </w:t>
      </w:r>
      <w:proofErr w:type="spellStart"/>
      <w:r w:rsidRPr="00907081">
        <w:rPr>
          <w:rFonts w:ascii="Times New Roman" w:eastAsia="Times New Roman" w:hAnsi="Times New Roman"/>
          <w:sz w:val="24"/>
          <w:szCs w:val="24"/>
          <w:lang w:eastAsia="el-GR"/>
        </w:rPr>
        <w:t>υπεραπόσβεση</w:t>
      </w:r>
      <w:proofErr w:type="spellEnd"/>
      <w:r w:rsidRPr="00907081">
        <w:rPr>
          <w:rFonts w:ascii="Times New Roman" w:eastAsia="Times New Roman" w:hAnsi="Times New Roman"/>
          <w:sz w:val="24"/>
          <w:szCs w:val="24"/>
          <w:lang w:eastAsia="el-GR"/>
        </w:rPr>
        <w:t xml:space="preserve"> δαπανών έρευνας και ανάπτυξης (R&amp;D)</w:t>
      </w:r>
      <w:r w:rsidR="009542AD">
        <w:rPr>
          <w:rFonts w:ascii="Times New Roman" w:eastAsia="Times New Roman" w:hAnsi="Times New Roman"/>
          <w:sz w:val="24"/>
          <w:szCs w:val="24"/>
          <w:lang w:eastAsia="el-GR"/>
        </w:rPr>
        <w:t>,</w:t>
      </w:r>
      <w:r w:rsidRPr="00907081">
        <w:rPr>
          <w:rFonts w:ascii="Times New Roman" w:eastAsia="Times New Roman" w:hAnsi="Times New Roman"/>
          <w:sz w:val="24"/>
          <w:szCs w:val="24"/>
          <w:lang w:eastAsia="el-GR"/>
        </w:rPr>
        <w:t xml:space="preserve"> με δημοσιονομικό κόστος 35 </w:t>
      </w:r>
      <w:r w:rsidR="008F24A5">
        <w:rPr>
          <w:rFonts w:ascii="Times New Roman" w:eastAsia="Times New Roman" w:hAnsi="Times New Roman"/>
          <w:sz w:val="24"/>
          <w:szCs w:val="24"/>
          <w:lang w:eastAsia="el-GR"/>
        </w:rPr>
        <w:t>εκατ.</w:t>
      </w:r>
      <w:r w:rsidR="009542AD">
        <w:rPr>
          <w:rFonts w:ascii="Times New Roman" w:eastAsia="Times New Roman" w:hAnsi="Times New Roman"/>
          <w:sz w:val="24"/>
          <w:szCs w:val="24"/>
          <w:lang w:eastAsia="el-GR"/>
        </w:rPr>
        <w:t xml:space="preserve"> ευρώ</w:t>
      </w:r>
      <w:r w:rsidRPr="00907081">
        <w:rPr>
          <w:rFonts w:ascii="Times New Roman" w:eastAsia="Times New Roman" w:hAnsi="Times New Roman"/>
          <w:sz w:val="24"/>
          <w:szCs w:val="24"/>
          <w:lang w:eastAsia="el-GR"/>
        </w:rPr>
        <w:t xml:space="preserve"> για </w:t>
      </w:r>
      <w:r>
        <w:rPr>
          <w:rFonts w:ascii="Times New Roman" w:eastAsia="Times New Roman" w:hAnsi="Times New Roman"/>
          <w:sz w:val="24"/>
          <w:szCs w:val="24"/>
          <w:lang w:eastAsia="el-GR"/>
        </w:rPr>
        <w:t>το 2021,</w:t>
      </w:r>
    </w:p>
    <w:p w:rsidR="00CD2D8A" w:rsidRPr="00907081"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907081">
        <w:rPr>
          <w:rFonts w:ascii="Times New Roman" w:eastAsia="Times New Roman" w:hAnsi="Times New Roman"/>
          <w:sz w:val="24"/>
          <w:szCs w:val="24"/>
          <w:lang w:eastAsia="el-GR"/>
        </w:rPr>
        <w:t xml:space="preserve">ην </w:t>
      </w:r>
      <w:proofErr w:type="spellStart"/>
      <w:r w:rsidRPr="00907081">
        <w:rPr>
          <w:rFonts w:ascii="Times New Roman" w:eastAsia="Times New Roman" w:hAnsi="Times New Roman"/>
          <w:sz w:val="24"/>
          <w:szCs w:val="24"/>
          <w:lang w:eastAsia="el-GR"/>
        </w:rPr>
        <w:t>υπερέκπτωση</w:t>
      </w:r>
      <w:proofErr w:type="spellEnd"/>
      <w:r w:rsidRPr="00907081">
        <w:rPr>
          <w:rFonts w:ascii="Times New Roman" w:eastAsia="Times New Roman" w:hAnsi="Times New Roman"/>
          <w:sz w:val="24"/>
          <w:szCs w:val="24"/>
          <w:lang w:eastAsia="el-GR"/>
        </w:rPr>
        <w:t xml:space="preserve"> για επενδύσεις σε πράσινη οικονομία, ενέργεια και ψηφιοποίηση (επιβαρύνει το δημοσιονομικό αποτέλεσμα του έτους 2022),</w:t>
      </w:r>
    </w:p>
    <w:p w:rsidR="00CD2D8A" w:rsidRDefault="00CD2D8A" w:rsidP="00914D7F">
      <w:pPr>
        <w:pStyle w:val="ListParagraph"/>
        <w:numPr>
          <w:ilvl w:val="0"/>
          <w:numId w:val="15"/>
        </w:numPr>
        <w:spacing w:after="0" w:line="240" w:lineRule="auto"/>
        <w:ind w:left="284" w:hanging="284"/>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907081">
        <w:rPr>
          <w:rFonts w:ascii="Times New Roman" w:eastAsia="Times New Roman" w:hAnsi="Times New Roman"/>
          <w:sz w:val="24"/>
          <w:szCs w:val="24"/>
          <w:lang w:eastAsia="el-GR"/>
        </w:rPr>
        <w:t xml:space="preserve">ην κατάργηση του ΕΝΦΙΑ σε μικρά και απομακρυσμένα νησιά με δημοσιονομικό κόστος 1,5 </w:t>
      </w:r>
      <w:r w:rsidR="008F24A5">
        <w:rPr>
          <w:rFonts w:ascii="Times New Roman" w:eastAsia="Times New Roman" w:hAnsi="Times New Roman"/>
          <w:sz w:val="24"/>
          <w:szCs w:val="24"/>
          <w:lang w:eastAsia="el-GR"/>
        </w:rPr>
        <w:t>εκατ.</w:t>
      </w:r>
      <w:r w:rsidRPr="00907081">
        <w:rPr>
          <w:rFonts w:ascii="Times New Roman" w:eastAsia="Times New Roman" w:hAnsi="Times New Roman"/>
          <w:sz w:val="24"/>
          <w:szCs w:val="24"/>
          <w:lang w:eastAsia="el-GR"/>
        </w:rPr>
        <w:t xml:space="preserve"> ευρώ για το 2020 και 1,5 </w:t>
      </w:r>
      <w:r w:rsidR="008F24A5">
        <w:rPr>
          <w:rFonts w:ascii="Times New Roman" w:eastAsia="Times New Roman" w:hAnsi="Times New Roman"/>
          <w:sz w:val="24"/>
          <w:szCs w:val="24"/>
          <w:lang w:eastAsia="el-GR"/>
        </w:rPr>
        <w:t>εκατ.</w:t>
      </w:r>
      <w:r w:rsidRPr="00907081">
        <w:rPr>
          <w:rFonts w:ascii="Times New Roman" w:eastAsia="Times New Roman" w:hAnsi="Times New Roman"/>
          <w:sz w:val="24"/>
          <w:szCs w:val="24"/>
          <w:lang w:eastAsia="el-GR"/>
        </w:rPr>
        <w:t xml:space="preserve"> ευρώ για το 2021.</w:t>
      </w:r>
    </w:p>
    <w:p w:rsidR="00B305B1" w:rsidRPr="00907081" w:rsidRDefault="00B305B1" w:rsidP="00B305B1">
      <w:pPr>
        <w:pStyle w:val="ListParagraph"/>
        <w:spacing w:after="0" w:line="240" w:lineRule="auto"/>
        <w:ind w:left="0"/>
        <w:contextualSpacing w:val="0"/>
        <w:jc w:val="both"/>
        <w:rPr>
          <w:rFonts w:ascii="Times New Roman" w:eastAsia="Times New Roman" w:hAnsi="Times New Roman"/>
          <w:sz w:val="24"/>
          <w:szCs w:val="24"/>
          <w:lang w:eastAsia="el-GR"/>
        </w:rPr>
      </w:pPr>
    </w:p>
    <w:p w:rsidR="00914D7F" w:rsidRDefault="00B305B1" w:rsidP="00CD2D8A">
      <w:pPr>
        <w:jc w:val="both"/>
      </w:pPr>
      <w:r>
        <w:t xml:space="preserve">Λαμβάνοντας υπόψη τα ανωτέρω, το σύνολο των παρεμβάσεων για την ενίσχυση της Ελληνικής οικονομίας και την αντιμετώπιση των πολλαπλών κρίσεων του 2020 (υγειονομική, οικονομική, μεταναστευτική, φυσικών καταστροφών) </w:t>
      </w:r>
      <w:r w:rsidR="00993BB6">
        <w:t>προσεγγίζει τα 24 δισ</w:t>
      </w:r>
      <w:r>
        <w:t xml:space="preserve">. ευρώ. </w:t>
      </w:r>
    </w:p>
    <w:p w:rsidR="00993BB6" w:rsidRDefault="00993BB6" w:rsidP="00CD2D8A">
      <w:pPr>
        <w:jc w:val="both"/>
      </w:pPr>
    </w:p>
    <w:p w:rsidR="00B305B1" w:rsidRDefault="00B305B1" w:rsidP="00CD2D8A">
      <w:pPr>
        <w:jc w:val="both"/>
      </w:pPr>
      <w:r>
        <w:t>Ανάλογα με την πορεία της υγειονομικής κρίσης είναι πιθανόν να αναληφθούν πρόσθετες δημοσιονομικές παρεμβάσεις μέχρι το τέλος του έτους, οι οποίες θα παρουσιαστούν στην Εισηγητική Έκθεση του Προϋπολογισμού του 2021.</w:t>
      </w:r>
    </w:p>
    <w:p w:rsidR="00B305B1" w:rsidRDefault="00B305B1" w:rsidP="00CD2D8A">
      <w:pPr>
        <w:jc w:val="both"/>
      </w:pPr>
    </w:p>
    <w:p w:rsidR="00CD2D8A" w:rsidRDefault="00CD2D8A" w:rsidP="00CD2D8A">
      <w:pPr>
        <w:jc w:val="both"/>
      </w:pPr>
      <w:r w:rsidRPr="00E45F19">
        <w:t xml:space="preserve">Παράλληλα, τόσο για το 2020 όσο και για το 2021 </w:t>
      </w:r>
      <w:r>
        <w:t>έχει δοθεί προτεραιότητα σε</w:t>
      </w:r>
      <w:r w:rsidRPr="00E45F19">
        <w:t xml:space="preserve"> παρεμβάσεις που αφο</w:t>
      </w:r>
      <w:r>
        <w:t>ρούν στην αντιμετώπιση θεμάτων Ε</w:t>
      </w:r>
      <w:r w:rsidRPr="00E45F19">
        <w:t>θνικής</w:t>
      </w:r>
      <w:r>
        <w:t xml:space="preserve"> Άμυνας και</w:t>
      </w:r>
      <w:r w:rsidRPr="00E45F19">
        <w:t xml:space="preserve"> </w:t>
      </w:r>
      <w:r w:rsidR="009542AD" w:rsidRPr="00E45F19">
        <w:t>Ασφάλειας</w:t>
      </w:r>
      <w:r>
        <w:t>,</w:t>
      </w:r>
      <w:r w:rsidRPr="00E45F19">
        <w:t xml:space="preserve"> καθώς και </w:t>
      </w:r>
      <w:r>
        <w:t>μεταναστευτικών ροών (π</w:t>
      </w:r>
      <w:r w:rsidRPr="00E45F19">
        <w:t xml:space="preserve">ίνακας </w:t>
      </w:r>
      <w:r>
        <w:t>2.6</w:t>
      </w:r>
      <w:r w:rsidRPr="00E45F19">
        <w:t>).</w:t>
      </w:r>
      <w:r>
        <w:t xml:space="preserve"> </w:t>
      </w:r>
    </w:p>
    <w:p w:rsidR="00CD2D8A" w:rsidRDefault="00CD2D8A" w:rsidP="00CD2D8A">
      <w:pPr>
        <w:jc w:val="both"/>
      </w:pPr>
    </w:p>
    <w:p w:rsidR="00CD2D8A" w:rsidRDefault="00CD2D8A" w:rsidP="00CD2D8A">
      <w:pPr>
        <w:jc w:val="both"/>
      </w:pPr>
      <w:r>
        <w:t>Ειδικότερα</w:t>
      </w:r>
      <w:r w:rsidR="009542AD">
        <w:t>,</w:t>
      </w:r>
      <w:r>
        <w:t xml:space="preserve"> οι πληρωμές για την Εθνική Άμυνα </w:t>
      </w:r>
      <w:r w:rsidR="009542AD">
        <w:t xml:space="preserve">(εξοπλιστικά προγράμματα) </w:t>
      </w:r>
      <w:r>
        <w:t xml:space="preserve">αναμένεται να </w:t>
      </w:r>
      <w:r w:rsidR="009542AD">
        <w:t>ανέλθουν</w:t>
      </w:r>
      <w:r>
        <w:t xml:space="preserve"> τα 2,5 </w:t>
      </w:r>
      <w:r w:rsidR="008F24A5">
        <w:t>δισ.</w:t>
      </w:r>
      <w:r>
        <w:t xml:space="preserve"> ευρώ το 2021, αυξημένες κατά 2 </w:t>
      </w:r>
      <w:r w:rsidR="008F24A5">
        <w:t>δισ.</w:t>
      </w:r>
      <w:r>
        <w:t xml:space="preserve"> ευρώ σε σχέση με το 2020. </w:t>
      </w:r>
    </w:p>
    <w:p w:rsidR="00CD2D8A" w:rsidRDefault="00CD2D8A" w:rsidP="00CD2D8A">
      <w:pPr>
        <w:jc w:val="both"/>
      </w:pPr>
    </w:p>
    <w:p w:rsidR="00CD2D8A" w:rsidRPr="00E45F19" w:rsidRDefault="00CD2D8A" w:rsidP="00CD2D8A">
      <w:pPr>
        <w:jc w:val="both"/>
      </w:pPr>
      <w:r>
        <w:t xml:space="preserve">Οι δαπάνες για τις μεταναστευτικές ροές </w:t>
      </w:r>
      <w:r w:rsidR="009542AD">
        <w:t>προβλέπεται</w:t>
      </w:r>
      <w:r>
        <w:t xml:space="preserve"> να ανέλθουν σε 564 </w:t>
      </w:r>
      <w:r w:rsidR="008F24A5">
        <w:t>εκατ.</w:t>
      </w:r>
      <w:r>
        <w:t xml:space="preserve"> ευρώ, εκ των οποίων 414 </w:t>
      </w:r>
      <w:r w:rsidR="008F24A5">
        <w:t>εκατ.</w:t>
      </w:r>
      <w:r>
        <w:t xml:space="preserve"> ευρώ </w:t>
      </w:r>
      <w:r w:rsidR="006F22B9">
        <w:t>καλύπτονται</w:t>
      </w:r>
      <w:r>
        <w:t xml:space="preserve"> από τον τακτικό προϋπολογισμό.</w:t>
      </w:r>
    </w:p>
    <w:p w:rsidR="00CD2D8A" w:rsidRPr="00B33E41" w:rsidRDefault="00CD2D8A" w:rsidP="00CD2D8A">
      <w:pPr>
        <w:jc w:val="both"/>
        <w:rPr>
          <w:strike/>
          <w:szCs w:val="22"/>
        </w:rPr>
      </w:pPr>
    </w:p>
    <w:p w:rsidR="00E317C6" w:rsidRPr="00B33E41" w:rsidRDefault="00E317C6" w:rsidP="00CD2D8A">
      <w:pPr>
        <w:jc w:val="both"/>
        <w:rPr>
          <w:strike/>
          <w:szCs w:val="22"/>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6"/>
        <w:gridCol w:w="1091"/>
        <w:gridCol w:w="1182"/>
      </w:tblGrid>
      <w:tr w:rsidR="00CD2D8A" w:rsidRPr="00456931" w:rsidTr="007D5EBD">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2D8A" w:rsidRPr="007D5EBD" w:rsidRDefault="00CD2D8A" w:rsidP="006A2CB4">
            <w:pPr>
              <w:spacing w:before="40"/>
              <w:jc w:val="center"/>
              <w:rPr>
                <w:rFonts w:ascii="Arial Narrow" w:hAnsi="Arial Narrow"/>
                <w:b/>
              </w:rPr>
            </w:pPr>
            <w:r w:rsidRPr="007D5EBD">
              <w:rPr>
                <w:rFonts w:ascii="Arial Narrow" w:hAnsi="Arial Narrow"/>
                <w:b/>
              </w:rPr>
              <w:t>Πίνακας 2.6 Εθνική Άμυνα και Μεταναστευτικό</w:t>
            </w:r>
          </w:p>
          <w:p w:rsidR="00CD2D8A" w:rsidRPr="007D5EBD" w:rsidRDefault="00CD2D8A" w:rsidP="006A2CB4">
            <w:pPr>
              <w:spacing w:before="40"/>
              <w:jc w:val="center"/>
              <w:rPr>
                <w:rFonts w:ascii="Arial Narrow" w:hAnsi="Arial Narrow"/>
                <w:b/>
              </w:rPr>
            </w:pPr>
            <w:r w:rsidRPr="007D5EBD">
              <w:rPr>
                <w:rFonts w:ascii="Arial Narrow" w:hAnsi="Arial Narrow"/>
                <w:b/>
                <w:bCs/>
              </w:rPr>
              <w:t>(</w:t>
            </w:r>
            <w:r w:rsidRPr="007D5EBD">
              <w:rPr>
                <w:rFonts w:ascii="Arial Narrow" w:hAnsi="Arial Narrow"/>
                <w:b/>
                <w:iCs/>
              </w:rPr>
              <w:t>σε εκατ. ευρώ)</w:t>
            </w:r>
          </w:p>
        </w:tc>
      </w:tr>
      <w:tr w:rsidR="00CD2D8A" w:rsidRPr="00FE4CC7" w:rsidTr="007D5EBD">
        <w:tc>
          <w:tcPr>
            <w:tcW w:w="3750" w:type="pct"/>
            <w:tcBorders>
              <w:top w:val="single" w:sz="4" w:space="0" w:color="auto"/>
              <w:left w:val="single" w:sz="4" w:space="0" w:color="auto"/>
              <w:bottom w:val="single" w:sz="4" w:space="0" w:color="auto"/>
              <w:right w:val="single" w:sz="4" w:space="0" w:color="auto"/>
            </w:tcBorders>
            <w:shd w:val="clear" w:color="auto" w:fill="FFFFFF"/>
          </w:tcPr>
          <w:p w:rsidR="00CD2D8A" w:rsidRPr="007D5EBD" w:rsidRDefault="00CD2D8A" w:rsidP="006A2CB4">
            <w:pPr>
              <w:spacing w:before="40" w:after="40"/>
              <w:jc w:val="center"/>
              <w:rPr>
                <w:rFonts w:ascii="Arial Narrow" w:hAnsi="Arial Narrow"/>
                <w:sz w:val="16"/>
                <w:szCs w:val="16"/>
              </w:rPr>
            </w:pP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CD2D8A" w:rsidRPr="007D5EBD" w:rsidRDefault="00CD2D8A" w:rsidP="006A2CB4">
            <w:pPr>
              <w:spacing w:before="40" w:after="40"/>
              <w:jc w:val="center"/>
              <w:rPr>
                <w:rFonts w:ascii="Arial Narrow" w:hAnsi="Arial Narrow"/>
                <w:b/>
                <w:sz w:val="16"/>
                <w:szCs w:val="16"/>
              </w:rPr>
            </w:pPr>
            <w:r w:rsidRPr="007D5EBD">
              <w:rPr>
                <w:rFonts w:ascii="Arial Narrow" w:hAnsi="Arial Narrow"/>
                <w:b/>
                <w:sz w:val="16"/>
                <w:szCs w:val="16"/>
              </w:rPr>
              <w:t>2020</w:t>
            </w:r>
          </w:p>
        </w:tc>
        <w:tc>
          <w:tcPr>
            <w:tcW w:w="650" w:type="pct"/>
            <w:tcBorders>
              <w:top w:val="single" w:sz="4" w:space="0" w:color="auto"/>
              <w:left w:val="single" w:sz="4" w:space="0" w:color="auto"/>
              <w:bottom w:val="single" w:sz="4" w:space="0" w:color="auto"/>
              <w:right w:val="single" w:sz="4" w:space="0" w:color="auto"/>
            </w:tcBorders>
            <w:shd w:val="clear" w:color="auto" w:fill="FFFFFF"/>
          </w:tcPr>
          <w:p w:rsidR="00CD2D8A" w:rsidRPr="007D5EBD" w:rsidRDefault="00CD2D8A" w:rsidP="006A2CB4">
            <w:pPr>
              <w:spacing w:before="40" w:after="40"/>
              <w:jc w:val="center"/>
              <w:rPr>
                <w:rFonts w:ascii="Arial Narrow" w:hAnsi="Arial Narrow"/>
                <w:b/>
                <w:sz w:val="16"/>
                <w:szCs w:val="16"/>
              </w:rPr>
            </w:pPr>
            <w:r w:rsidRPr="007D5EBD">
              <w:rPr>
                <w:rFonts w:ascii="Arial Narrow" w:hAnsi="Arial Narrow"/>
                <w:b/>
                <w:sz w:val="16"/>
                <w:szCs w:val="16"/>
              </w:rPr>
              <w:t>2021</w:t>
            </w:r>
          </w:p>
        </w:tc>
      </w:tr>
      <w:tr w:rsidR="00B22BE5" w:rsidRPr="00FE4CC7" w:rsidTr="007D5EBD">
        <w:tc>
          <w:tcPr>
            <w:tcW w:w="3750" w:type="pct"/>
            <w:tcBorders>
              <w:top w:val="single" w:sz="4" w:space="0" w:color="auto"/>
              <w:bottom w:val="single" w:sz="4" w:space="0" w:color="BFBFBF"/>
              <w:right w:val="nil"/>
            </w:tcBorders>
            <w:shd w:val="clear" w:color="auto" w:fill="D9D9D9"/>
          </w:tcPr>
          <w:p w:rsidR="00CD2D8A" w:rsidRPr="00F11151" w:rsidRDefault="00CD2D8A" w:rsidP="008F24A5">
            <w:pPr>
              <w:rPr>
                <w:rFonts w:ascii="Arial Narrow" w:hAnsi="Arial Narrow"/>
                <w:b/>
                <w:sz w:val="16"/>
                <w:szCs w:val="16"/>
              </w:rPr>
            </w:pPr>
            <w:r w:rsidRPr="007D5EBD">
              <w:rPr>
                <w:rFonts w:ascii="Arial Narrow" w:hAnsi="Arial Narrow"/>
                <w:b/>
                <w:sz w:val="16"/>
                <w:szCs w:val="16"/>
              </w:rPr>
              <w:t>Εξοπλιστικά</w:t>
            </w:r>
            <w:r w:rsidR="00F11151">
              <w:rPr>
                <w:rFonts w:ascii="Arial Narrow" w:hAnsi="Arial Narrow"/>
                <w:b/>
                <w:sz w:val="16"/>
                <w:szCs w:val="16"/>
                <w:lang w:val="en-US"/>
              </w:rPr>
              <w:t xml:space="preserve"> </w:t>
            </w:r>
            <w:r w:rsidR="00F11151">
              <w:rPr>
                <w:rFonts w:ascii="Arial Narrow" w:hAnsi="Arial Narrow"/>
                <w:b/>
                <w:sz w:val="16"/>
                <w:szCs w:val="16"/>
              </w:rPr>
              <w:t>προγράμματα</w:t>
            </w:r>
          </w:p>
        </w:tc>
        <w:tc>
          <w:tcPr>
            <w:tcW w:w="600" w:type="pct"/>
            <w:tcBorders>
              <w:top w:val="single" w:sz="4" w:space="0" w:color="auto"/>
              <w:left w:val="nil"/>
              <w:bottom w:val="single" w:sz="4" w:space="0" w:color="BFBFBF"/>
              <w:right w:val="nil"/>
            </w:tcBorders>
            <w:shd w:val="clear" w:color="auto" w:fill="D9D9D9"/>
          </w:tcPr>
          <w:p w:rsidR="00CD2D8A" w:rsidRPr="007D5EBD" w:rsidRDefault="00CD2D8A" w:rsidP="007D5EBD">
            <w:pPr>
              <w:jc w:val="right"/>
              <w:rPr>
                <w:rFonts w:ascii="Arial Narrow" w:hAnsi="Arial Narrow"/>
                <w:sz w:val="16"/>
                <w:szCs w:val="16"/>
              </w:rPr>
            </w:pPr>
          </w:p>
        </w:tc>
        <w:tc>
          <w:tcPr>
            <w:tcW w:w="650" w:type="pct"/>
            <w:tcBorders>
              <w:top w:val="single" w:sz="4" w:space="0" w:color="auto"/>
              <w:left w:val="nil"/>
              <w:bottom w:val="single" w:sz="4" w:space="0" w:color="BFBFBF"/>
            </w:tcBorders>
            <w:shd w:val="clear" w:color="auto" w:fill="D9D9D9"/>
          </w:tcPr>
          <w:p w:rsidR="00CD2D8A" w:rsidRPr="007D5EBD" w:rsidRDefault="00CD2D8A" w:rsidP="007D5EBD">
            <w:pPr>
              <w:jc w:val="right"/>
              <w:rPr>
                <w:rFonts w:ascii="Arial Narrow" w:hAnsi="Arial Narrow"/>
                <w:sz w:val="16"/>
                <w:szCs w:val="16"/>
              </w:rPr>
            </w:pPr>
          </w:p>
        </w:tc>
      </w:tr>
      <w:tr w:rsidR="00B22BE5" w:rsidRPr="00FE4CC7" w:rsidTr="007D5EBD">
        <w:tc>
          <w:tcPr>
            <w:tcW w:w="3750" w:type="pct"/>
            <w:tcBorders>
              <w:top w:val="single" w:sz="4" w:space="0" w:color="BFBFBF"/>
              <w:bottom w:val="single" w:sz="4" w:space="0" w:color="BFBFBF"/>
              <w:right w:val="nil"/>
            </w:tcBorders>
            <w:vAlign w:val="bottom"/>
          </w:tcPr>
          <w:p w:rsidR="00CD2D8A" w:rsidRPr="007D5EBD" w:rsidRDefault="00CD2D8A" w:rsidP="007D5EBD">
            <w:pPr>
              <w:ind w:left="720"/>
              <w:rPr>
                <w:rFonts w:ascii="Arial Narrow" w:hAnsi="Arial Narrow"/>
                <w:sz w:val="16"/>
                <w:szCs w:val="16"/>
              </w:rPr>
            </w:pPr>
            <w:r w:rsidRPr="007D5EBD">
              <w:rPr>
                <w:rFonts w:ascii="Arial Narrow" w:hAnsi="Arial Narrow"/>
                <w:sz w:val="16"/>
                <w:szCs w:val="16"/>
              </w:rPr>
              <w:t>Πληρωμές</w:t>
            </w:r>
          </w:p>
        </w:tc>
        <w:tc>
          <w:tcPr>
            <w:tcW w:w="600" w:type="pct"/>
            <w:tcBorders>
              <w:top w:val="single" w:sz="4" w:space="0" w:color="BFBFBF"/>
              <w:left w:val="nil"/>
              <w:bottom w:val="single" w:sz="4" w:space="0" w:color="BFBFBF"/>
              <w:right w:val="nil"/>
            </w:tcBorders>
            <w:vAlign w:val="bottom"/>
          </w:tcPr>
          <w:p w:rsidR="00CD2D8A" w:rsidRPr="007D5EBD" w:rsidRDefault="00CD2D8A" w:rsidP="007D5EBD">
            <w:pPr>
              <w:ind w:right="284"/>
              <w:jc w:val="right"/>
              <w:rPr>
                <w:rFonts w:ascii="Arial Narrow" w:hAnsi="Arial Narrow"/>
                <w:sz w:val="16"/>
                <w:szCs w:val="16"/>
              </w:rPr>
            </w:pPr>
            <w:r w:rsidRPr="007D5EBD">
              <w:rPr>
                <w:rFonts w:ascii="Arial Narrow" w:hAnsi="Arial Narrow" w:cs="Calibri"/>
                <w:color w:val="000000"/>
                <w:sz w:val="16"/>
                <w:szCs w:val="16"/>
              </w:rPr>
              <w:t>515</w:t>
            </w:r>
            <w:r w:rsidR="00216D95">
              <w:rPr>
                <w:rFonts w:ascii="Arial Narrow" w:hAnsi="Arial Narrow" w:cs="Calibri"/>
                <w:color w:val="000000"/>
                <w:sz w:val="16"/>
                <w:szCs w:val="16"/>
              </w:rPr>
              <w:t>*</w:t>
            </w:r>
          </w:p>
        </w:tc>
        <w:tc>
          <w:tcPr>
            <w:tcW w:w="650" w:type="pct"/>
            <w:tcBorders>
              <w:top w:val="single" w:sz="4" w:space="0" w:color="BFBFBF"/>
              <w:left w:val="nil"/>
              <w:bottom w:val="single" w:sz="4" w:space="0" w:color="BFBFBF"/>
            </w:tcBorders>
            <w:vAlign w:val="bottom"/>
          </w:tcPr>
          <w:p w:rsidR="00CD2D8A" w:rsidRPr="007D5EBD" w:rsidRDefault="00CD2D8A" w:rsidP="007D5EBD">
            <w:pPr>
              <w:ind w:right="284"/>
              <w:jc w:val="right"/>
              <w:rPr>
                <w:rFonts w:ascii="Arial Narrow" w:hAnsi="Arial Narrow"/>
                <w:sz w:val="16"/>
                <w:szCs w:val="16"/>
              </w:rPr>
            </w:pPr>
            <w:r w:rsidRPr="007D5EBD">
              <w:rPr>
                <w:rFonts w:ascii="Arial Narrow" w:hAnsi="Arial Narrow" w:cs="Calibri"/>
                <w:color w:val="000000"/>
                <w:sz w:val="16"/>
                <w:szCs w:val="16"/>
              </w:rPr>
              <w:t>2.519</w:t>
            </w:r>
          </w:p>
        </w:tc>
      </w:tr>
      <w:tr w:rsidR="00B22BE5" w:rsidRPr="00FE4CC7" w:rsidTr="007D5EBD">
        <w:trPr>
          <w:trHeight w:val="215"/>
        </w:trPr>
        <w:tc>
          <w:tcPr>
            <w:tcW w:w="3750" w:type="pct"/>
            <w:tcBorders>
              <w:top w:val="single" w:sz="4" w:space="0" w:color="BFBFBF"/>
              <w:bottom w:val="single" w:sz="4" w:space="0" w:color="BFBFBF"/>
              <w:right w:val="nil"/>
            </w:tcBorders>
            <w:vAlign w:val="bottom"/>
          </w:tcPr>
          <w:p w:rsidR="00CD2D8A" w:rsidRPr="007D5EBD" w:rsidRDefault="00CD2D8A" w:rsidP="007D5EBD">
            <w:pPr>
              <w:ind w:left="720"/>
              <w:rPr>
                <w:rFonts w:ascii="Arial Narrow" w:hAnsi="Arial Narrow" w:cs="Calibri"/>
                <w:iCs/>
                <w:color w:val="000000"/>
                <w:sz w:val="16"/>
                <w:szCs w:val="16"/>
              </w:rPr>
            </w:pPr>
            <w:r w:rsidRPr="007D5EBD">
              <w:rPr>
                <w:rFonts w:ascii="Arial Narrow" w:hAnsi="Arial Narrow" w:cs="Calibri"/>
                <w:iCs/>
                <w:color w:val="000000"/>
                <w:sz w:val="16"/>
                <w:szCs w:val="16"/>
              </w:rPr>
              <w:t>Φυσικές παραλαβές</w:t>
            </w:r>
          </w:p>
        </w:tc>
        <w:tc>
          <w:tcPr>
            <w:tcW w:w="600" w:type="pct"/>
            <w:tcBorders>
              <w:top w:val="single" w:sz="4" w:space="0" w:color="BFBFBF"/>
              <w:left w:val="nil"/>
              <w:bottom w:val="single" w:sz="4" w:space="0" w:color="BFBFBF"/>
              <w:right w:val="nil"/>
            </w:tcBorders>
            <w:vAlign w:val="bottom"/>
          </w:tcPr>
          <w:p w:rsidR="00CD2D8A" w:rsidRPr="007D5EBD" w:rsidRDefault="00CD2D8A" w:rsidP="007D5EBD">
            <w:pPr>
              <w:ind w:right="284"/>
              <w:jc w:val="right"/>
              <w:rPr>
                <w:rFonts w:ascii="Arial Narrow" w:hAnsi="Arial Narrow"/>
                <w:sz w:val="16"/>
                <w:szCs w:val="16"/>
              </w:rPr>
            </w:pPr>
            <w:r w:rsidRPr="007D5EBD">
              <w:rPr>
                <w:rFonts w:ascii="Arial Narrow" w:hAnsi="Arial Narrow"/>
                <w:sz w:val="16"/>
                <w:szCs w:val="16"/>
              </w:rPr>
              <w:t>460</w:t>
            </w:r>
          </w:p>
        </w:tc>
        <w:tc>
          <w:tcPr>
            <w:tcW w:w="650" w:type="pct"/>
            <w:tcBorders>
              <w:top w:val="single" w:sz="4" w:space="0" w:color="BFBFBF"/>
              <w:left w:val="nil"/>
              <w:bottom w:val="single" w:sz="4" w:space="0" w:color="BFBFBF"/>
            </w:tcBorders>
            <w:vAlign w:val="bottom"/>
          </w:tcPr>
          <w:p w:rsidR="00CD2D8A" w:rsidRPr="007D5EBD" w:rsidRDefault="00CD2D8A" w:rsidP="007D5EBD">
            <w:pPr>
              <w:ind w:right="284"/>
              <w:jc w:val="right"/>
              <w:rPr>
                <w:rFonts w:ascii="Arial Narrow" w:hAnsi="Arial Narrow"/>
                <w:sz w:val="16"/>
                <w:szCs w:val="16"/>
              </w:rPr>
            </w:pPr>
            <w:r w:rsidRPr="007D5EBD">
              <w:rPr>
                <w:rFonts w:ascii="Arial Narrow" w:hAnsi="Arial Narrow"/>
                <w:sz w:val="16"/>
                <w:szCs w:val="16"/>
              </w:rPr>
              <w:t>1.472</w:t>
            </w:r>
          </w:p>
        </w:tc>
      </w:tr>
      <w:tr w:rsidR="00B22BE5" w:rsidRPr="00FE4CC7" w:rsidTr="007D5EBD">
        <w:tc>
          <w:tcPr>
            <w:tcW w:w="3750" w:type="pct"/>
            <w:tcBorders>
              <w:top w:val="single" w:sz="4" w:space="0" w:color="BFBFBF"/>
              <w:bottom w:val="single" w:sz="4" w:space="0" w:color="BFBFBF"/>
              <w:right w:val="nil"/>
            </w:tcBorders>
            <w:shd w:val="clear" w:color="auto" w:fill="D9D9D9"/>
            <w:vAlign w:val="bottom"/>
          </w:tcPr>
          <w:p w:rsidR="00CD2D8A" w:rsidRPr="007D5EBD" w:rsidRDefault="00CD2D8A" w:rsidP="008F24A5">
            <w:pPr>
              <w:rPr>
                <w:rFonts w:ascii="Arial Narrow" w:hAnsi="Arial Narrow" w:cs="Calibri"/>
                <w:b/>
                <w:color w:val="000000"/>
                <w:sz w:val="16"/>
                <w:szCs w:val="16"/>
              </w:rPr>
            </w:pPr>
            <w:r w:rsidRPr="007D5EBD">
              <w:rPr>
                <w:rFonts w:ascii="Arial Narrow" w:hAnsi="Arial Narrow" w:cs="Calibri"/>
                <w:b/>
                <w:color w:val="000000"/>
                <w:sz w:val="16"/>
                <w:szCs w:val="16"/>
              </w:rPr>
              <w:t xml:space="preserve">Δαπάνες μεταναστευτικών ροών </w:t>
            </w:r>
          </w:p>
        </w:tc>
        <w:tc>
          <w:tcPr>
            <w:tcW w:w="600" w:type="pct"/>
            <w:tcBorders>
              <w:top w:val="single" w:sz="4" w:space="0" w:color="BFBFBF"/>
              <w:left w:val="nil"/>
              <w:bottom w:val="single" w:sz="4" w:space="0" w:color="BFBFBF"/>
              <w:right w:val="nil"/>
            </w:tcBorders>
            <w:shd w:val="clear" w:color="auto" w:fill="D9D9D9"/>
            <w:vAlign w:val="bottom"/>
          </w:tcPr>
          <w:p w:rsidR="00CD2D8A" w:rsidRPr="007D5EBD" w:rsidRDefault="00CD2D8A" w:rsidP="007D5EBD">
            <w:pPr>
              <w:ind w:right="284"/>
              <w:jc w:val="right"/>
              <w:rPr>
                <w:rFonts w:ascii="Arial Narrow" w:hAnsi="Arial Narrow" w:cs="Calibri"/>
                <w:color w:val="000000"/>
                <w:sz w:val="16"/>
                <w:szCs w:val="16"/>
              </w:rPr>
            </w:pPr>
          </w:p>
        </w:tc>
        <w:tc>
          <w:tcPr>
            <w:tcW w:w="650" w:type="pct"/>
            <w:tcBorders>
              <w:top w:val="single" w:sz="4" w:space="0" w:color="BFBFBF"/>
              <w:left w:val="nil"/>
              <w:bottom w:val="single" w:sz="4" w:space="0" w:color="BFBFBF"/>
            </w:tcBorders>
            <w:shd w:val="clear" w:color="auto" w:fill="D9D9D9"/>
            <w:vAlign w:val="bottom"/>
          </w:tcPr>
          <w:p w:rsidR="00CD2D8A" w:rsidRPr="007D5EBD" w:rsidRDefault="00CD2D8A" w:rsidP="007D5EBD">
            <w:pPr>
              <w:ind w:right="284"/>
              <w:jc w:val="right"/>
              <w:rPr>
                <w:rFonts w:ascii="Arial Narrow" w:hAnsi="Arial Narrow" w:cs="Calibri"/>
                <w:color w:val="000000"/>
                <w:sz w:val="16"/>
                <w:szCs w:val="16"/>
              </w:rPr>
            </w:pPr>
          </w:p>
        </w:tc>
      </w:tr>
      <w:tr w:rsidR="00B22BE5" w:rsidRPr="00FE4CC7" w:rsidTr="007D5EBD">
        <w:tc>
          <w:tcPr>
            <w:tcW w:w="3750" w:type="pct"/>
            <w:tcBorders>
              <w:top w:val="single" w:sz="4" w:space="0" w:color="BFBFBF"/>
              <w:bottom w:val="single" w:sz="4" w:space="0" w:color="BFBFBF"/>
              <w:right w:val="nil"/>
            </w:tcBorders>
            <w:vAlign w:val="bottom"/>
          </w:tcPr>
          <w:p w:rsidR="00CD2D8A" w:rsidRPr="007D5EBD" w:rsidRDefault="00CD2D8A" w:rsidP="007D5EBD">
            <w:pPr>
              <w:ind w:left="720"/>
              <w:rPr>
                <w:rFonts w:ascii="Arial Narrow" w:hAnsi="Arial Narrow"/>
                <w:sz w:val="16"/>
                <w:szCs w:val="16"/>
              </w:rPr>
            </w:pPr>
            <w:r w:rsidRPr="007D5EBD">
              <w:rPr>
                <w:rFonts w:ascii="Arial Narrow" w:hAnsi="Arial Narrow"/>
                <w:sz w:val="16"/>
                <w:szCs w:val="16"/>
              </w:rPr>
              <w:t>Τακτικός Προϋπολογισμός</w:t>
            </w:r>
          </w:p>
        </w:tc>
        <w:tc>
          <w:tcPr>
            <w:tcW w:w="600" w:type="pct"/>
            <w:tcBorders>
              <w:top w:val="single" w:sz="4" w:space="0" w:color="BFBFBF"/>
              <w:left w:val="nil"/>
              <w:bottom w:val="single" w:sz="4" w:space="0" w:color="BFBFBF"/>
              <w:right w:val="nil"/>
            </w:tcBorders>
            <w:vAlign w:val="bottom"/>
          </w:tcPr>
          <w:p w:rsidR="00CD2D8A" w:rsidRPr="007D5EBD" w:rsidRDefault="00CD2D8A" w:rsidP="007D5EBD">
            <w:pPr>
              <w:ind w:right="284"/>
              <w:jc w:val="right"/>
              <w:rPr>
                <w:rFonts w:ascii="Arial Narrow" w:hAnsi="Arial Narrow"/>
                <w:sz w:val="16"/>
                <w:szCs w:val="16"/>
              </w:rPr>
            </w:pPr>
            <w:r w:rsidRPr="007D5EBD">
              <w:rPr>
                <w:rFonts w:ascii="Arial Narrow" w:hAnsi="Arial Narrow" w:cs="Calibri"/>
                <w:color w:val="000000"/>
                <w:sz w:val="16"/>
                <w:szCs w:val="16"/>
              </w:rPr>
              <w:t>405</w:t>
            </w:r>
          </w:p>
        </w:tc>
        <w:tc>
          <w:tcPr>
            <w:tcW w:w="650" w:type="pct"/>
            <w:tcBorders>
              <w:top w:val="single" w:sz="4" w:space="0" w:color="BFBFBF"/>
              <w:left w:val="nil"/>
              <w:bottom w:val="single" w:sz="4" w:space="0" w:color="BFBFBF"/>
            </w:tcBorders>
            <w:vAlign w:val="bottom"/>
          </w:tcPr>
          <w:p w:rsidR="00CD2D8A" w:rsidRPr="007D5EBD" w:rsidRDefault="00CD2D8A" w:rsidP="007D5EBD">
            <w:pPr>
              <w:ind w:right="284"/>
              <w:jc w:val="right"/>
              <w:rPr>
                <w:rFonts w:ascii="Arial Narrow" w:hAnsi="Arial Narrow"/>
                <w:sz w:val="16"/>
                <w:szCs w:val="16"/>
              </w:rPr>
            </w:pPr>
            <w:r w:rsidRPr="007D5EBD">
              <w:rPr>
                <w:rFonts w:ascii="Arial Narrow" w:hAnsi="Arial Narrow" w:cs="Calibri"/>
                <w:color w:val="000000"/>
                <w:sz w:val="16"/>
                <w:szCs w:val="16"/>
              </w:rPr>
              <w:t>414</w:t>
            </w:r>
          </w:p>
        </w:tc>
      </w:tr>
      <w:tr w:rsidR="00B22BE5" w:rsidRPr="00FE4CC7" w:rsidTr="007D5EBD">
        <w:tc>
          <w:tcPr>
            <w:tcW w:w="3750" w:type="pct"/>
            <w:tcBorders>
              <w:top w:val="single" w:sz="4" w:space="0" w:color="BFBFBF"/>
              <w:right w:val="nil"/>
            </w:tcBorders>
            <w:vAlign w:val="bottom"/>
          </w:tcPr>
          <w:p w:rsidR="00CD2D8A" w:rsidRPr="007D5EBD" w:rsidRDefault="00CD2D8A" w:rsidP="007D5EBD">
            <w:pPr>
              <w:ind w:left="720"/>
              <w:rPr>
                <w:rFonts w:ascii="Arial Narrow" w:hAnsi="Arial Narrow"/>
                <w:sz w:val="16"/>
                <w:szCs w:val="16"/>
              </w:rPr>
            </w:pPr>
            <w:r w:rsidRPr="007D5EBD">
              <w:rPr>
                <w:rFonts w:ascii="Arial Narrow" w:hAnsi="Arial Narrow"/>
                <w:sz w:val="16"/>
                <w:szCs w:val="16"/>
              </w:rPr>
              <w:t>Πρόγραμμα Δημοσίων Επενδύσεων</w:t>
            </w:r>
          </w:p>
        </w:tc>
        <w:tc>
          <w:tcPr>
            <w:tcW w:w="600" w:type="pct"/>
            <w:tcBorders>
              <w:top w:val="single" w:sz="4" w:space="0" w:color="BFBFBF"/>
              <w:left w:val="nil"/>
              <w:right w:val="nil"/>
            </w:tcBorders>
            <w:vAlign w:val="bottom"/>
          </w:tcPr>
          <w:p w:rsidR="00CD2D8A" w:rsidRPr="007D5EBD" w:rsidRDefault="00CD2D8A" w:rsidP="007D5EBD">
            <w:pPr>
              <w:ind w:right="284"/>
              <w:jc w:val="right"/>
              <w:rPr>
                <w:rFonts w:ascii="Arial Narrow" w:hAnsi="Arial Narrow" w:cs="Calibri"/>
                <w:color w:val="000000"/>
                <w:sz w:val="16"/>
                <w:szCs w:val="16"/>
              </w:rPr>
            </w:pPr>
            <w:r w:rsidRPr="007D5EBD">
              <w:rPr>
                <w:rFonts w:ascii="Arial Narrow" w:hAnsi="Arial Narrow" w:cs="Calibri"/>
                <w:color w:val="000000"/>
                <w:sz w:val="16"/>
                <w:szCs w:val="16"/>
              </w:rPr>
              <w:t>200</w:t>
            </w:r>
          </w:p>
        </w:tc>
        <w:tc>
          <w:tcPr>
            <w:tcW w:w="650" w:type="pct"/>
            <w:tcBorders>
              <w:top w:val="single" w:sz="4" w:space="0" w:color="BFBFBF"/>
              <w:left w:val="nil"/>
            </w:tcBorders>
            <w:vAlign w:val="bottom"/>
          </w:tcPr>
          <w:p w:rsidR="00CD2D8A" w:rsidRPr="007D5EBD" w:rsidRDefault="00CD2D8A" w:rsidP="007D5EBD">
            <w:pPr>
              <w:ind w:right="284"/>
              <w:jc w:val="right"/>
              <w:rPr>
                <w:rFonts w:ascii="Arial Narrow" w:hAnsi="Arial Narrow" w:cs="Calibri"/>
                <w:color w:val="000000"/>
                <w:sz w:val="16"/>
                <w:szCs w:val="16"/>
              </w:rPr>
            </w:pPr>
            <w:r w:rsidRPr="007D5EBD">
              <w:rPr>
                <w:rFonts w:ascii="Arial Narrow" w:hAnsi="Arial Narrow" w:cs="Calibri"/>
                <w:color w:val="000000"/>
                <w:sz w:val="16"/>
                <w:szCs w:val="16"/>
              </w:rPr>
              <w:t>150</w:t>
            </w:r>
          </w:p>
        </w:tc>
      </w:tr>
    </w:tbl>
    <w:p w:rsidR="00CD2D8A" w:rsidRPr="002B13AA" w:rsidRDefault="00216D95" w:rsidP="00F11151">
      <w:pPr>
        <w:tabs>
          <w:tab w:val="left" w:pos="284"/>
        </w:tabs>
        <w:ind w:left="284" w:hanging="284"/>
        <w:rPr>
          <w:rFonts w:ascii="Arial Narrow" w:hAnsi="Arial Narrow"/>
          <w:sz w:val="20"/>
          <w:szCs w:val="20"/>
        </w:rPr>
      </w:pPr>
      <w:r w:rsidRPr="002B13AA">
        <w:rPr>
          <w:rFonts w:ascii="Arial Narrow" w:hAnsi="Arial Narrow"/>
          <w:sz w:val="20"/>
          <w:szCs w:val="20"/>
        </w:rPr>
        <w:t>*</w:t>
      </w:r>
      <w:r w:rsidR="00F11151">
        <w:rPr>
          <w:rFonts w:ascii="Arial Narrow" w:hAnsi="Arial Narrow"/>
          <w:sz w:val="20"/>
          <w:szCs w:val="20"/>
        </w:rPr>
        <w:tab/>
      </w:r>
      <w:r w:rsidR="00F11151" w:rsidRPr="002B13AA">
        <w:rPr>
          <w:rFonts w:ascii="Arial Narrow" w:hAnsi="Arial Narrow"/>
          <w:sz w:val="20"/>
          <w:szCs w:val="20"/>
        </w:rPr>
        <w:t xml:space="preserve">Δεν </w:t>
      </w:r>
      <w:r w:rsidRPr="002B13AA">
        <w:rPr>
          <w:rFonts w:ascii="Arial Narrow" w:hAnsi="Arial Narrow"/>
          <w:sz w:val="20"/>
          <w:szCs w:val="20"/>
        </w:rPr>
        <w:t xml:space="preserve">συμπεριλαμβάνεται πιθανή χορήγηση προκαταβολών για εξοπλιστικά </w:t>
      </w:r>
      <w:r w:rsidR="00F11151">
        <w:rPr>
          <w:rFonts w:ascii="Arial Narrow" w:hAnsi="Arial Narrow"/>
          <w:sz w:val="20"/>
          <w:szCs w:val="20"/>
        </w:rPr>
        <w:t>προγράμματα</w:t>
      </w:r>
      <w:r w:rsidR="00B33E41">
        <w:rPr>
          <w:rFonts w:ascii="Arial Narrow" w:hAnsi="Arial Narrow"/>
          <w:sz w:val="20"/>
          <w:szCs w:val="20"/>
        </w:rPr>
        <w:t>,</w:t>
      </w:r>
      <w:r w:rsidR="00F11151">
        <w:rPr>
          <w:rFonts w:ascii="Arial Narrow" w:hAnsi="Arial Narrow"/>
          <w:sz w:val="20"/>
          <w:szCs w:val="20"/>
        </w:rPr>
        <w:t xml:space="preserve"> για </w:t>
      </w:r>
      <w:r w:rsidRPr="002B13AA">
        <w:rPr>
          <w:rFonts w:ascii="Arial Narrow" w:hAnsi="Arial Narrow"/>
          <w:sz w:val="20"/>
          <w:szCs w:val="20"/>
        </w:rPr>
        <w:t xml:space="preserve">τα οποία </w:t>
      </w:r>
      <w:r w:rsidR="00F11151">
        <w:rPr>
          <w:rFonts w:ascii="Arial Narrow" w:hAnsi="Arial Narrow"/>
          <w:sz w:val="20"/>
          <w:szCs w:val="20"/>
        </w:rPr>
        <w:t>προβλέφθηκαν πιστώσεις στον Συμπληρωματικό Προϋπολογισμό.</w:t>
      </w:r>
      <w:r w:rsidRPr="002B13AA">
        <w:rPr>
          <w:rFonts w:ascii="Arial Narrow" w:hAnsi="Arial Narrow"/>
          <w:sz w:val="20"/>
          <w:szCs w:val="20"/>
        </w:rPr>
        <w:t xml:space="preserve"> </w:t>
      </w:r>
    </w:p>
    <w:p w:rsidR="00CD2D8A" w:rsidRDefault="00CD2D8A" w:rsidP="00CD2D8A">
      <w:pPr>
        <w:jc w:val="both"/>
      </w:pPr>
    </w:p>
    <w:p w:rsidR="006F22B9" w:rsidRDefault="006F22B9" w:rsidP="00CD2D8A">
      <w:pPr>
        <w:jc w:val="both"/>
      </w:pPr>
    </w:p>
    <w:p w:rsidR="00CD2D8A" w:rsidRPr="00D73C35" w:rsidRDefault="00CD2D8A" w:rsidP="00CD2D8A">
      <w:pPr>
        <w:jc w:val="both"/>
        <w:rPr>
          <w:rFonts w:ascii="Arial Narrow" w:hAnsi="Arial Narrow"/>
          <w:b/>
          <w:bCs/>
          <w:color w:val="000080"/>
          <w:szCs w:val="22"/>
        </w:rPr>
      </w:pPr>
      <w:r w:rsidRPr="00D73C35">
        <w:rPr>
          <w:rFonts w:ascii="Arial Narrow" w:hAnsi="Arial Narrow"/>
          <w:b/>
          <w:bCs/>
          <w:color w:val="000080"/>
          <w:szCs w:val="22"/>
        </w:rPr>
        <w:t>Μηχανισμός Ανάκαμψης και Ανθεκτικότητας</w:t>
      </w:r>
    </w:p>
    <w:p w:rsidR="00CD2D8A" w:rsidRDefault="00CD2D8A" w:rsidP="00CD2D8A">
      <w:pPr>
        <w:jc w:val="both"/>
      </w:pPr>
    </w:p>
    <w:p w:rsidR="00CD2D8A" w:rsidRPr="001A2EC5" w:rsidRDefault="00CD2D8A" w:rsidP="006F22B9">
      <w:pPr>
        <w:jc w:val="both"/>
      </w:pPr>
      <w:r>
        <w:t>Η</w:t>
      </w:r>
      <w:r w:rsidRPr="00E45F19">
        <w:t xml:space="preserve"> </w:t>
      </w:r>
      <w:r w:rsidR="006F22B9" w:rsidRPr="00E45F19">
        <w:t xml:space="preserve">Ελληνική </w:t>
      </w:r>
      <w:r w:rsidRPr="00E45F19">
        <w:t>οικονομία θα ενισχυθεί</w:t>
      </w:r>
      <w:r>
        <w:t xml:space="preserve"> με χρηματοδοτικά εργαλεία του Μηχανισμού Ανάκαμψης και Ανθεκτικότητας όπως απεικονίζεται στον πίνακα 2.</w:t>
      </w:r>
      <w:r w:rsidRPr="00B30CFC">
        <w:t>7</w:t>
      </w:r>
      <w:r>
        <w:t>.</w:t>
      </w:r>
    </w:p>
    <w:p w:rsidR="006F22B9" w:rsidRDefault="006F22B9" w:rsidP="006F22B9">
      <w:pPr>
        <w:jc w:val="both"/>
      </w:pPr>
    </w:p>
    <w:p w:rsidR="00CD2D8A" w:rsidRDefault="00CD2D8A" w:rsidP="006F22B9">
      <w:pPr>
        <w:jc w:val="both"/>
      </w:pPr>
      <w:r>
        <w:t xml:space="preserve">Η Ελληνική οικονομία αναμένεται να ωφεληθεί με 32 </w:t>
      </w:r>
      <w:r w:rsidR="008F24A5">
        <w:t>δισ.</w:t>
      </w:r>
      <w:r>
        <w:t xml:space="preserve"> ευρώ έως το 2026, εκ των οποίων 19,3 </w:t>
      </w:r>
      <w:r w:rsidR="008F24A5">
        <w:t>δισ.</w:t>
      </w:r>
      <w:r w:rsidRPr="00577988">
        <w:t xml:space="preserve"> ευρώ </w:t>
      </w:r>
      <w:r>
        <w:t xml:space="preserve">αφορούν επιχορηγήσεις και 12,7 </w:t>
      </w:r>
      <w:r w:rsidR="008F24A5">
        <w:t>δισ.</w:t>
      </w:r>
      <w:r w:rsidRPr="00577988">
        <w:t xml:space="preserve"> ευρώ </w:t>
      </w:r>
      <w:r>
        <w:t>δάνεια με ευνοϊκό επιτόκιο και όρους.</w:t>
      </w:r>
    </w:p>
    <w:p w:rsidR="006F22B9" w:rsidRDefault="006F22B9" w:rsidP="006F22B9">
      <w:pPr>
        <w:jc w:val="both"/>
        <w:rPr>
          <w:szCs w:val="22"/>
        </w:rPr>
      </w:pPr>
    </w:p>
    <w:p w:rsidR="00CD2D8A" w:rsidRPr="006B63AA" w:rsidRDefault="00CD2D8A" w:rsidP="006F22B9">
      <w:pPr>
        <w:jc w:val="both"/>
        <w:rPr>
          <w:szCs w:val="22"/>
        </w:rPr>
      </w:pPr>
      <w:r>
        <w:rPr>
          <w:szCs w:val="22"/>
        </w:rPr>
        <w:t>Από</w:t>
      </w:r>
      <w:r w:rsidRPr="006B63AA">
        <w:rPr>
          <w:szCs w:val="22"/>
        </w:rPr>
        <w:t xml:space="preserve"> </w:t>
      </w:r>
      <w:r>
        <w:rPr>
          <w:szCs w:val="22"/>
        </w:rPr>
        <w:t>τα</w:t>
      </w:r>
      <w:r w:rsidRPr="006B63AA">
        <w:rPr>
          <w:szCs w:val="22"/>
        </w:rPr>
        <w:t xml:space="preserve"> 19,3 </w:t>
      </w:r>
      <w:r w:rsidR="008F24A5">
        <w:rPr>
          <w:szCs w:val="22"/>
        </w:rPr>
        <w:t>δισ</w:t>
      </w:r>
      <w:r w:rsidR="008F24A5" w:rsidRPr="006B63AA">
        <w:rPr>
          <w:szCs w:val="22"/>
        </w:rPr>
        <w:t>.</w:t>
      </w:r>
      <w:r w:rsidRPr="006B63AA">
        <w:rPr>
          <w:szCs w:val="22"/>
        </w:rPr>
        <w:t xml:space="preserve"> </w:t>
      </w:r>
      <w:r w:rsidRPr="00577988">
        <w:rPr>
          <w:szCs w:val="22"/>
        </w:rPr>
        <w:t>ευρώ</w:t>
      </w:r>
      <w:r w:rsidRPr="006B63AA">
        <w:rPr>
          <w:szCs w:val="22"/>
        </w:rPr>
        <w:t xml:space="preserve"> </w:t>
      </w:r>
      <w:r>
        <w:rPr>
          <w:szCs w:val="22"/>
        </w:rPr>
        <w:t>τα</w:t>
      </w:r>
      <w:r w:rsidRPr="006B63AA">
        <w:rPr>
          <w:szCs w:val="22"/>
        </w:rPr>
        <w:t xml:space="preserve"> 16,2 </w:t>
      </w:r>
      <w:r w:rsidR="008F24A5">
        <w:rPr>
          <w:szCs w:val="22"/>
        </w:rPr>
        <w:t>δισ</w:t>
      </w:r>
      <w:r w:rsidR="008F24A5" w:rsidRPr="006B63AA">
        <w:rPr>
          <w:szCs w:val="22"/>
        </w:rPr>
        <w:t>.</w:t>
      </w:r>
      <w:r w:rsidRPr="006B63AA">
        <w:rPr>
          <w:szCs w:val="22"/>
        </w:rPr>
        <w:t xml:space="preserve"> </w:t>
      </w:r>
      <w:r w:rsidRPr="00577988">
        <w:rPr>
          <w:szCs w:val="22"/>
        </w:rPr>
        <w:t>ευρώ</w:t>
      </w:r>
      <w:r w:rsidRPr="006B63AA">
        <w:rPr>
          <w:szCs w:val="22"/>
        </w:rPr>
        <w:t xml:space="preserve"> </w:t>
      </w:r>
      <w:r>
        <w:rPr>
          <w:szCs w:val="22"/>
        </w:rPr>
        <w:t>αφορούν</w:t>
      </w:r>
      <w:r w:rsidRPr="006B63AA">
        <w:rPr>
          <w:szCs w:val="22"/>
        </w:rPr>
        <w:t xml:space="preserve"> </w:t>
      </w:r>
      <w:r>
        <w:rPr>
          <w:szCs w:val="22"/>
        </w:rPr>
        <w:t>το</w:t>
      </w:r>
      <w:r w:rsidRPr="006B63AA">
        <w:t xml:space="preserve"> </w:t>
      </w:r>
      <w:r w:rsidRPr="00577988">
        <w:rPr>
          <w:szCs w:val="22"/>
          <w:lang w:val="en-US"/>
        </w:rPr>
        <w:t>Recovery</w:t>
      </w:r>
      <w:r w:rsidRPr="006B63AA">
        <w:rPr>
          <w:szCs w:val="22"/>
        </w:rPr>
        <w:t xml:space="preserve"> </w:t>
      </w:r>
      <w:r w:rsidRPr="00577988">
        <w:rPr>
          <w:szCs w:val="22"/>
          <w:lang w:val="en-US"/>
        </w:rPr>
        <w:t>and</w:t>
      </w:r>
      <w:r w:rsidRPr="006B63AA">
        <w:rPr>
          <w:szCs w:val="22"/>
        </w:rPr>
        <w:t xml:space="preserve"> </w:t>
      </w:r>
      <w:r w:rsidRPr="00577988">
        <w:rPr>
          <w:szCs w:val="22"/>
          <w:lang w:val="en-US"/>
        </w:rPr>
        <w:t>Resilience</w:t>
      </w:r>
      <w:r w:rsidRPr="006B63AA">
        <w:rPr>
          <w:szCs w:val="22"/>
        </w:rPr>
        <w:t xml:space="preserve"> </w:t>
      </w:r>
      <w:r w:rsidRPr="00577988">
        <w:rPr>
          <w:szCs w:val="22"/>
          <w:lang w:val="en-US"/>
        </w:rPr>
        <w:t>Facility</w:t>
      </w:r>
      <w:r w:rsidRPr="006B63AA">
        <w:rPr>
          <w:szCs w:val="22"/>
        </w:rPr>
        <w:t xml:space="preserve">, </w:t>
      </w:r>
      <w:r w:rsidR="006B63AA">
        <w:rPr>
          <w:szCs w:val="22"/>
        </w:rPr>
        <w:t>ποσό</w:t>
      </w:r>
      <w:r w:rsidR="006B63AA" w:rsidRPr="006B63AA">
        <w:rPr>
          <w:szCs w:val="22"/>
        </w:rPr>
        <w:t xml:space="preserve"> </w:t>
      </w:r>
      <w:r w:rsidRPr="006B63AA">
        <w:rPr>
          <w:szCs w:val="22"/>
        </w:rPr>
        <w:t xml:space="preserve">2,3 </w:t>
      </w:r>
      <w:r w:rsidR="008F24A5">
        <w:rPr>
          <w:szCs w:val="22"/>
        </w:rPr>
        <w:t>δισ</w:t>
      </w:r>
      <w:r w:rsidR="008F24A5" w:rsidRPr="006B63AA">
        <w:rPr>
          <w:szCs w:val="22"/>
        </w:rPr>
        <w:t>.</w:t>
      </w:r>
      <w:r w:rsidRPr="006B63AA">
        <w:rPr>
          <w:szCs w:val="22"/>
        </w:rPr>
        <w:t xml:space="preserve"> </w:t>
      </w:r>
      <w:r w:rsidRPr="00577988">
        <w:rPr>
          <w:szCs w:val="22"/>
        </w:rPr>
        <w:t>ευρώ</w:t>
      </w:r>
      <w:r w:rsidRPr="006B63AA">
        <w:rPr>
          <w:szCs w:val="22"/>
        </w:rPr>
        <w:t xml:space="preserve"> </w:t>
      </w:r>
      <w:r>
        <w:rPr>
          <w:szCs w:val="22"/>
        </w:rPr>
        <w:t>το</w:t>
      </w:r>
      <w:r w:rsidRPr="006B63AA">
        <w:rPr>
          <w:szCs w:val="22"/>
        </w:rPr>
        <w:t xml:space="preserve"> </w:t>
      </w:r>
      <w:r>
        <w:rPr>
          <w:szCs w:val="22"/>
          <w:lang w:val="en-US"/>
        </w:rPr>
        <w:t>REACT</w:t>
      </w:r>
      <w:r w:rsidRPr="006B63AA">
        <w:rPr>
          <w:szCs w:val="22"/>
        </w:rPr>
        <w:t>-</w:t>
      </w:r>
      <w:r>
        <w:rPr>
          <w:szCs w:val="22"/>
          <w:lang w:val="en-US"/>
        </w:rPr>
        <w:t>EU</w:t>
      </w:r>
      <w:r w:rsidRPr="006B63AA">
        <w:rPr>
          <w:szCs w:val="22"/>
        </w:rPr>
        <w:t xml:space="preserve">, </w:t>
      </w:r>
      <w:r w:rsidR="006B63AA">
        <w:rPr>
          <w:szCs w:val="22"/>
        </w:rPr>
        <w:t xml:space="preserve">ποσό </w:t>
      </w:r>
      <w:r w:rsidRPr="006B63AA">
        <w:rPr>
          <w:szCs w:val="22"/>
        </w:rPr>
        <w:t xml:space="preserve">0,4 </w:t>
      </w:r>
      <w:r w:rsidR="008F24A5">
        <w:rPr>
          <w:szCs w:val="22"/>
        </w:rPr>
        <w:t>δισ</w:t>
      </w:r>
      <w:r w:rsidR="008F24A5" w:rsidRPr="006B63AA">
        <w:rPr>
          <w:szCs w:val="22"/>
        </w:rPr>
        <w:t>.</w:t>
      </w:r>
      <w:r w:rsidRPr="006B63AA">
        <w:rPr>
          <w:szCs w:val="22"/>
        </w:rPr>
        <w:t xml:space="preserve"> </w:t>
      </w:r>
      <w:r w:rsidRPr="00577988">
        <w:rPr>
          <w:szCs w:val="22"/>
        </w:rPr>
        <w:t>ευρώ</w:t>
      </w:r>
      <w:r w:rsidRPr="006B63AA">
        <w:rPr>
          <w:szCs w:val="22"/>
        </w:rPr>
        <w:t xml:space="preserve"> </w:t>
      </w:r>
      <w:r>
        <w:rPr>
          <w:szCs w:val="22"/>
        </w:rPr>
        <w:t>το</w:t>
      </w:r>
      <w:r w:rsidRPr="006B63AA">
        <w:rPr>
          <w:szCs w:val="22"/>
        </w:rPr>
        <w:t xml:space="preserve"> </w:t>
      </w:r>
      <w:r>
        <w:rPr>
          <w:szCs w:val="22"/>
          <w:lang w:val="en-US"/>
        </w:rPr>
        <w:t>Just</w:t>
      </w:r>
      <w:r w:rsidRPr="006B63AA">
        <w:rPr>
          <w:szCs w:val="22"/>
        </w:rPr>
        <w:t xml:space="preserve"> </w:t>
      </w:r>
      <w:r w:rsidR="006B63AA">
        <w:rPr>
          <w:szCs w:val="22"/>
          <w:lang w:val="en-US"/>
        </w:rPr>
        <w:t>Transition</w:t>
      </w:r>
      <w:r w:rsidR="006B63AA" w:rsidRPr="006B63AA">
        <w:rPr>
          <w:szCs w:val="22"/>
        </w:rPr>
        <w:t xml:space="preserve"> </w:t>
      </w:r>
      <w:r w:rsidR="006B63AA">
        <w:rPr>
          <w:szCs w:val="22"/>
          <w:lang w:val="en-US"/>
        </w:rPr>
        <w:t>Fund</w:t>
      </w:r>
      <w:r w:rsidR="006B63AA" w:rsidRPr="006B63AA">
        <w:rPr>
          <w:szCs w:val="22"/>
        </w:rPr>
        <w:t xml:space="preserve"> </w:t>
      </w:r>
      <w:r>
        <w:rPr>
          <w:szCs w:val="22"/>
        </w:rPr>
        <w:t>και</w:t>
      </w:r>
      <w:r w:rsidRPr="006B63AA">
        <w:rPr>
          <w:szCs w:val="22"/>
        </w:rPr>
        <w:t xml:space="preserve"> </w:t>
      </w:r>
      <w:r w:rsidR="006B63AA">
        <w:rPr>
          <w:szCs w:val="22"/>
        </w:rPr>
        <w:t xml:space="preserve">ποσό </w:t>
      </w:r>
      <w:r w:rsidRPr="006B63AA">
        <w:rPr>
          <w:szCs w:val="22"/>
        </w:rPr>
        <w:t xml:space="preserve">0,4 </w:t>
      </w:r>
      <w:r w:rsidR="008F24A5">
        <w:rPr>
          <w:szCs w:val="22"/>
        </w:rPr>
        <w:t>δισ</w:t>
      </w:r>
      <w:r w:rsidR="008F24A5" w:rsidRPr="006B63AA">
        <w:rPr>
          <w:szCs w:val="22"/>
        </w:rPr>
        <w:t>.</w:t>
      </w:r>
      <w:r w:rsidRPr="006B63AA">
        <w:rPr>
          <w:szCs w:val="22"/>
        </w:rPr>
        <w:t xml:space="preserve"> </w:t>
      </w:r>
      <w:r w:rsidRPr="00577988">
        <w:rPr>
          <w:szCs w:val="22"/>
        </w:rPr>
        <w:t>ευρώ</w:t>
      </w:r>
      <w:r w:rsidRPr="006B63AA">
        <w:rPr>
          <w:szCs w:val="22"/>
        </w:rPr>
        <w:t xml:space="preserve"> </w:t>
      </w:r>
      <w:r>
        <w:rPr>
          <w:szCs w:val="22"/>
        </w:rPr>
        <w:t>το</w:t>
      </w:r>
      <w:r w:rsidRPr="006B63AA">
        <w:rPr>
          <w:szCs w:val="22"/>
        </w:rPr>
        <w:t xml:space="preserve"> </w:t>
      </w:r>
      <w:r w:rsidRPr="00577988">
        <w:rPr>
          <w:szCs w:val="22"/>
          <w:lang w:val="en-US"/>
        </w:rPr>
        <w:t>European</w:t>
      </w:r>
      <w:r w:rsidRPr="006B63AA">
        <w:rPr>
          <w:szCs w:val="22"/>
        </w:rPr>
        <w:t xml:space="preserve"> </w:t>
      </w:r>
      <w:r w:rsidRPr="00577988">
        <w:rPr>
          <w:szCs w:val="22"/>
          <w:lang w:val="en-US"/>
        </w:rPr>
        <w:t>Agricultural</w:t>
      </w:r>
      <w:r w:rsidRPr="006B63AA">
        <w:rPr>
          <w:szCs w:val="22"/>
        </w:rPr>
        <w:t xml:space="preserve"> </w:t>
      </w:r>
      <w:r w:rsidRPr="00577988">
        <w:rPr>
          <w:szCs w:val="22"/>
          <w:lang w:val="en-US"/>
        </w:rPr>
        <w:t>Fund</w:t>
      </w:r>
      <w:r w:rsidRPr="006B63AA">
        <w:rPr>
          <w:szCs w:val="22"/>
        </w:rPr>
        <w:t xml:space="preserve"> </w:t>
      </w:r>
      <w:r w:rsidRPr="00577988">
        <w:rPr>
          <w:szCs w:val="22"/>
          <w:lang w:val="en-US"/>
        </w:rPr>
        <w:t>for</w:t>
      </w:r>
      <w:r w:rsidRPr="006B63AA">
        <w:rPr>
          <w:szCs w:val="22"/>
        </w:rPr>
        <w:t xml:space="preserve"> </w:t>
      </w:r>
      <w:r w:rsidRPr="00577988">
        <w:rPr>
          <w:szCs w:val="22"/>
          <w:lang w:val="en-US"/>
        </w:rPr>
        <w:t>Rural</w:t>
      </w:r>
      <w:r w:rsidRPr="006B63AA">
        <w:rPr>
          <w:szCs w:val="22"/>
        </w:rPr>
        <w:t xml:space="preserve"> </w:t>
      </w:r>
      <w:r w:rsidRPr="00577988">
        <w:rPr>
          <w:szCs w:val="22"/>
          <w:lang w:val="en-US"/>
        </w:rPr>
        <w:t>Development</w:t>
      </w:r>
      <w:r w:rsidRPr="006B63AA">
        <w:rPr>
          <w:szCs w:val="22"/>
        </w:rPr>
        <w:t>.</w:t>
      </w:r>
    </w:p>
    <w:p w:rsidR="00CD2D8A" w:rsidRPr="006B63AA" w:rsidRDefault="00CD2D8A" w:rsidP="00CD2D8A">
      <w:pPr>
        <w:rPr>
          <w:rFonts w:ascii="Arial Narrow" w:hAnsi="Arial Narrow"/>
        </w:rPr>
      </w:pPr>
    </w:p>
    <w:p w:rsidR="006F22B9" w:rsidRPr="006B63AA" w:rsidRDefault="006F22B9" w:rsidP="00CD2D8A">
      <w:pPr>
        <w:rPr>
          <w:rFonts w:ascii="Arial Narrow" w:hAnsi="Arial Narrow"/>
        </w:rPr>
      </w:pPr>
    </w:p>
    <w:p w:rsidR="00CD2D8A" w:rsidRPr="006B63AA" w:rsidRDefault="00CD2D8A" w:rsidP="00CD2D8A">
      <w:pPr>
        <w:rPr>
          <w:rFonts w:ascii="Arial Narrow" w:hAnsi="Arial Narrow"/>
        </w:rPr>
      </w:pPr>
    </w:p>
    <w:tbl>
      <w:tblPr>
        <w:tblW w:w="9089"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4790"/>
        <w:gridCol w:w="1758"/>
        <w:gridCol w:w="1272"/>
        <w:gridCol w:w="1269"/>
      </w:tblGrid>
      <w:tr w:rsidR="00CD2D8A" w:rsidRPr="00456931" w:rsidTr="007D5EBD">
        <w:tc>
          <w:tcPr>
            <w:tcW w:w="5000" w:type="pct"/>
            <w:gridSpan w:val="4"/>
            <w:tcBorders>
              <w:top w:val="single" w:sz="4" w:space="0" w:color="auto"/>
              <w:bottom w:val="single" w:sz="4" w:space="0" w:color="auto"/>
            </w:tcBorders>
            <w:shd w:val="clear" w:color="auto" w:fill="FFFFFF"/>
          </w:tcPr>
          <w:p w:rsidR="00CD2D8A" w:rsidRPr="007D5EBD" w:rsidRDefault="00CD2D8A" w:rsidP="007D5EBD">
            <w:pPr>
              <w:jc w:val="center"/>
              <w:rPr>
                <w:rFonts w:ascii="Arial Narrow" w:hAnsi="Arial Narrow"/>
                <w:b/>
              </w:rPr>
            </w:pPr>
            <w:r w:rsidRPr="007D5EBD">
              <w:rPr>
                <w:rFonts w:ascii="Arial Narrow" w:hAnsi="Arial Narrow"/>
                <w:b/>
              </w:rPr>
              <w:t xml:space="preserve">Πίνακας 2.7  Μηχανισμός Ανάκαμψης και Ανθεκτικότητας &amp; </w:t>
            </w:r>
            <w:r w:rsidRPr="007D5EBD">
              <w:rPr>
                <w:rFonts w:ascii="Arial Narrow" w:hAnsi="Arial Narrow"/>
                <w:b/>
                <w:lang w:val="en-US"/>
              </w:rPr>
              <w:t>REACT</w:t>
            </w:r>
            <w:r w:rsidRPr="007D5EBD">
              <w:rPr>
                <w:rFonts w:ascii="Arial Narrow" w:hAnsi="Arial Narrow"/>
                <w:b/>
              </w:rPr>
              <w:t>-</w:t>
            </w:r>
            <w:r w:rsidRPr="007D5EBD">
              <w:rPr>
                <w:rFonts w:ascii="Arial Narrow" w:hAnsi="Arial Narrow"/>
                <w:b/>
                <w:lang w:val="en-US"/>
              </w:rPr>
              <w:t>EU</w:t>
            </w:r>
          </w:p>
          <w:p w:rsidR="00CD2D8A" w:rsidRPr="007D5EBD" w:rsidRDefault="00CD2D8A" w:rsidP="007D5EBD">
            <w:pPr>
              <w:jc w:val="center"/>
              <w:rPr>
                <w:rFonts w:ascii="Arial Narrow" w:hAnsi="Arial Narrow"/>
                <w:i/>
              </w:rPr>
            </w:pPr>
            <w:r w:rsidRPr="007D5EBD">
              <w:rPr>
                <w:rFonts w:ascii="Arial Narrow" w:hAnsi="Arial Narrow"/>
                <w:b/>
              </w:rPr>
              <w:t>(σε εκατ. ευρώ)</w:t>
            </w:r>
          </w:p>
        </w:tc>
      </w:tr>
      <w:tr w:rsidR="00B22BE5" w:rsidRPr="00FE4CC7" w:rsidTr="007D5EBD">
        <w:tc>
          <w:tcPr>
            <w:tcW w:w="3602" w:type="pct"/>
            <w:gridSpan w:val="2"/>
            <w:tcBorders>
              <w:top w:val="single" w:sz="4" w:space="0" w:color="auto"/>
              <w:bottom w:val="single" w:sz="4" w:space="0" w:color="auto"/>
              <w:right w:val="single" w:sz="4" w:space="0" w:color="auto"/>
            </w:tcBorders>
            <w:shd w:val="clear" w:color="auto" w:fill="FFFFFF"/>
          </w:tcPr>
          <w:p w:rsidR="00CD2D8A" w:rsidRPr="007D5EBD" w:rsidRDefault="00CD2D8A" w:rsidP="007D5EBD">
            <w:pPr>
              <w:spacing w:before="60" w:after="60"/>
              <w:jc w:val="center"/>
              <w:rPr>
                <w:rFonts w:ascii="Arial Narrow" w:hAnsi="Arial Narrow"/>
                <w:sz w:val="16"/>
                <w:szCs w:val="16"/>
              </w:rPr>
            </w:pP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CD2D8A" w:rsidRPr="007D5EBD" w:rsidRDefault="00CD2D8A" w:rsidP="007D5EBD">
            <w:pPr>
              <w:spacing w:before="60" w:after="60"/>
              <w:jc w:val="center"/>
              <w:rPr>
                <w:rFonts w:ascii="Arial Narrow" w:hAnsi="Arial Narrow"/>
                <w:b/>
                <w:sz w:val="16"/>
                <w:szCs w:val="16"/>
              </w:rPr>
            </w:pPr>
            <w:r w:rsidRPr="007D5EBD">
              <w:rPr>
                <w:rFonts w:ascii="Arial Narrow" w:hAnsi="Arial Narrow"/>
                <w:b/>
                <w:sz w:val="16"/>
                <w:szCs w:val="16"/>
              </w:rPr>
              <w:t>2020</w:t>
            </w:r>
          </w:p>
        </w:tc>
        <w:tc>
          <w:tcPr>
            <w:tcW w:w="698" w:type="pct"/>
            <w:tcBorders>
              <w:top w:val="single" w:sz="4" w:space="0" w:color="auto"/>
              <w:left w:val="single" w:sz="4" w:space="0" w:color="auto"/>
              <w:bottom w:val="single" w:sz="4" w:space="0" w:color="auto"/>
            </w:tcBorders>
            <w:shd w:val="clear" w:color="auto" w:fill="FFFFFF"/>
            <w:vAlign w:val="center"/>
          </w:tcPr>
          <w:p w:rsidR="00CD2D8A" w:rsidRPr="007D5EBD" w:rsidRDefault="00CD2D8A" w:rsidP="007D5EBD">
            <w:pPr>
              <w:spacing w:before="60" w:after="60"/>
              <w:jc w:val="center"/>
              <w:rPr>
                <w:rFonts w:ascii="Arial Narrow" w:hAnsi="Arial Narrow"/>
                <w:b/>
                <w:sz w:val="16"/>
                <w:szCs w:val="16"/>
              </w:rPr>
            </w:pPr>
            <w:r w:rsidRPr="007D5EBD">
              <w:rPr>
                <w:rFonts w:ascii="Arial Narrow" w:hAnsi="Arial Narrow"/>
                <w:b/>
                <w:sz w:val="16"/>
                <w:szCs w:val="16"/>
              </w:rPr>
              <w:t>2021</w:t>
            </w:r>
          </w:p>
        </w:tc>
      </w:tr>
      <w:tr w:rsidR="00B22BE5" w:rsidRPr="00FE4CC7" w:rsidTr="007D5EBD">
        <w:trPr>
          <w:trHeight w:val="413"/>
        </w:trPr>
        <w:tc>
          <w:tcPr>
            <w:tcW w:w="2635" w:type="pct"/>
            <w:vMerge w:val="restart"/>
            <w:tcBorders>
              <w:top w:val="single" w:sz="4" w:space="0" w:color="auto"/>
              <w:bottom w:val="single" w:sz="4" w:space="0" w:color="BFBFBF"/>
              <w:right w:val="nil"/>
            </w:tcBorders>
            <w:vAlign w:val="center"/>
          </w:tcPr>
          <w:p w:rsidR="00CD2D8A" w:rsidRPr="007D5EBD" w:rsidRDefault="00CD2D8A" w:rsidP="008F24A5">
            <w:pPr>
              <w:rPr>
                <w:rFonts w:ascii="Arial Narrow" w:hAnsi="Arial Narrow"/>
                <w:sz w:val="16"/>
                <w:szCs w:val="16"/>
              </w:rPr>
            </w:pPr>
            <w:r w:rsidRPr="007D5EBD" w:rsidDel="00C27AB3">
              <w:rPr>
                <w:rFonts w:ascii="Arial Narrow" w:hAnsi="Arial Narrow"/>
                <w:sz w:val="16"/>
                <w:szCs w:val="16"/>
              </w:rPr>
              <w:t xml:space="preserve"> </w:t>
            </w:r>
            <w:proofErr w:type="spellStart"/>
            <w:r w:rsidRPr="007D5EBD">
              <w:rPr>
                <w:rFonts w:ascii="Arial Narrow" w:hAnsi="Arial Narrow"/>
                <w:sz w:val="16"/>
                <w:szCs w:val="16"/>
              </w:rPr>
              <w:t>Recovery</w:t>
            </w:r>
            <w:proofErr w:type="spellEnd"/>
            <w:r w:rsidRPr="007D5EBD">
              <w:rPr>
                <w:rFonts w:ascii="Arial Narrow" w:hAnsi="Arial Narrow"/>
                <w:sz w:val="16"/>
                <w:szCs w:val="16"/>
              </w:rPr>
              <w:t xml:space="preserve"> and </w:t>
            </w:r>
            <w:proofErr w:type="spellStart"/>
            <w:r w:rsidRPr="007D5EBD">
              <w:rPr>
                <w:rFonts w:ascii="Arial Narrow" w:hAnsi="Arial Narrow"/>
                <w:sz w:val="16"/>
                <w:szCs w:val="16"/>
              </w:rPr>
              <w:t>Resilience</w:t>
            </w:r>
            <w:proofErr w:type="spellEnd"/>
            <w:r w:rsidRPr="007D5EBD">
              <w:rPr>
                <w:rFonts w:ascii="Arial Narrow" w:hAnsi="Arial Narrow"/>
                <w:sz w:val="16"/>
                <w:szCs w:val="16"/>
              </w:rPr>
              <w:t xml:space="preserve"> </w:t>
            </w:r>
            <w:proofErr w:type="spellStart"/>
            <w:r w:rsidRPr="007D5EBD">
              <w:rPr>
                <w:rFonts w:ascii="Arial Narrow" w:hAnsi="Arial Narrow"/>
                <w:sz w:val="16"/>
                <w:szCs w:val="16"/>
              </w:rPr>
              <w:t>Facility</w:t>
            </w:r>
            <w:proofErr w:type="spellEnd"/>
            <w:r w:rsidRPr="007D5EBD">
              <w:rPr>
                <w:rFonts w:ascii="Arial Narrow" w:hAnsi="Arial Narrow"/>
                <w:sz w:val="16"/>
                <w:szCs w:val="16"/>
              </w:rPr>
              <w:br/>
            </w:r>
          </w:p>
        </w:tc>
        <w:tc>
          <w:tcPr>
            <w:tcW w:w="967" w:type="pct"/>
            <w:tcBorders>
              <w:top w:val="single" w:sz="4" w:space="0" w:color="auto"/>
              <w:left w:val="nil"/>
              <w:bottom w:val="single" w:sz="4" w:space="0" w:color="BFBFBF"/>
              <w:right w:val="nil"/>
            </w:tcBorders>
            <w:vAlign w:val="center"/>
          </w:tcPr>
          <w:p w:rsidR="00CD2D8A" w:rsidRPr="007D5EBD" w:rsidRDefault="00CD2D8A" w:rsidP="007D5EBD">
            <w:pPr>
              <w:jc w:val="center"/>
              <w:rPr>
                <w:rFonts w:ascii="Arial Narrow" w:hAnsi="Arial Narrow"/>
                <w:sz w:val="16"/>
                <w:szCs w:val="16"/>
              </w:rPr>
            </w:pPr>
            <w:r w:rsidRPr="007D5EBD">
              <w:rPr>
                <w:rFonts w:ascii="Arial Narrow" w:hAnsi="Arial Narrow"/>
                <w:sz w:val="16"/>
                <w:szCs w:val="16"/>
              </w:rPr>
              <w:t>Επιχορηγήσεις</w:t>
            </w:r>
          </w:p>
        </w:tc>
        <w:tc>
          <w:tcPr>
            <w:tcW w:w="700" w:type="pct"/>
            <w:tcBorders>
              <w:top w:val="single" w:sz="4" w:space="0" w:color="auto"/>
              <w:left w:val="nil"/>
              <w:bottom w:val="single" w:sz="4" w:space="0" w:color="BFBFBF"/>
              <w:right w:val="nil"/>
            </w:tcBorders>
            <w:vAlign w:val="center"/>
          </w:tcPr>
          <w:p w:rsidR="00CD2D8A" w:rsidRPr="007D5EBD" w:rsidRDefault="00CD2D8A" w:rsidP="007D5EBD">
            <w:pPr>
              <w:ind w:right="340"/>
              <w:jc w:val="right"/>
              <w:rPr>
                <w:rFonts w:ascii="Arial Narrow" w:hAnsi="Arial Narrow"/>
                <w:sz w:val="16"/>
                <w:szCs w:val="16"/>
              </w:rPr>
            </w:pPr>
            <w:r w:rsidRPr="007D5EBD">
              <w:rPr>
                <w:rFonts w:ascii="Arial Narrow" w:hAnsi="Arial Narrow"/>
                <w:sz w:val="16"/>
                <w:szCs w:val="16"/>
              </w:rPr>
              <w:t>0</w:t>
            </w:r>
          </w:p>
        </w:tc>
        <w:tc>
          <w:tcPr>
            <w:tcW w:w="698" w:type="pct"/>
            <w:tcBorders>
              <w:top w:val="single" w:sz="4" w:space="0" w:color="auto"/>
              <w:left w:val="nil"/>
              <w:bottom w:val="single" w:sz="4" w:space="0" w:color="BFBFBF"/>
            </w:tcBorders>
            <w:vAlign w:val="center"/>
          </w:tcPr>
          <w:p w:rsidR="00CD2D8A" w:rsidRPr="007D5EBD" w:rsidRDefault="00CD2D8A" w:rsidP="007D5EBD">
            <w:pPr>
              <w:ind w:right="340"/>
              <w:jc w:val="right"/>
              <w:rPr>
                <w:rFonts w:ascii="Arial Narrow" w:hAnsi="Arial Narrow"/>
                <w:sz w:val="16"/>
                <w:szCs w:val="16"/>
              </w:rPr>
            </w:pPr>
            <w:r w:rsidRPr="007D5EBD">
              <w:rPr>
                <w:rFonts w:ascii="Arial Narrow" w:hAnsi="Arial Narrow"/>
                <w:sz w:val="16"/>
                <w:szCs w:val="16"/>
              </w:rPr>
              <w:t>2.635</w:t>
            </w:r>
            <w:r w:rsidR="004D553D">
              <w:rPr>
                <w:rFonts w:ascii="Arial Narrow" w:hAnsi="Arial Narrow"/>
                <w:sz w:val="16"/>
                <w:szCs w:val="16"/>
              </w:rPr>
              <w:t>*</w:t>
            </w:r>
          </w:p>
        </w:tc>
      </w:tr>
      <w:tr w:rsidR="00B22BE5" w:rsidRPr="00FE4CC7" w:rsidTr="007D5EBD">
        <w:trPr>
          <w:trHeight w:val="414"/>
        </w:trPr>
        <w:tc>
          <w:tcPr>
            <w:tcW w:w="2635" w:type="pct"/>
            <w:vMerge/>
            <w:tcBorders>
              <w:top w:val="single" w:sz="4" w:space="0" w:color="BFBFBF"/>
              <w:bottom w:val="single" w:sz="4" w:space="0" w:color="BFBFBF"/>
              <w:right w:val="nil"/>
            </w:tcBorders>
            <w:vAlign w:val="center"/>
          </w:tcPr>
          <w:p w:rsidR="00CD2D8A" w:rsidRPr="007D5EBD" w:rsidRDefault="00CD2D8A" w:rsidP="007D5EBD">
            <w:pPr>
              <w:jc w:val="center"/>
              <w:rPr>
                <w:rFonts w:ascii="Arial Narrow" w:hAnsi="Arial Narrow"/>
                <w:sz w:val="16"/>
                <w:szCs w:val="16"/>
              </w:rPr>
            </w:pPr>
          </w:p>
        </w:tc>
        <w:tc>
          <w:tcPr>
            <w:tcW w:w="967" w:type="pct"/>
            <w:tcBorders>
              <w:top w:val="single" w:sz="4" w:space="0" w:color="BFBFBF"/>
              <w:left w:val="nil"/>
              <w:bottom w:val="single" w:sz="4" w:space="0" w:color="BFBFBF"/>
              <w:right w:val="nil"/>
            </w:tcBorders>
            <w:vAlign w:val="center"/>
          </w:tcPr>
          <w:p w:rsidR="00CD2D8A" w:rsidRPr="007D5EBD" w:rsidRDefault="00CD2D8A" w:rsidP="007D5EBD">
            <w:pPr>
              <w:jc w:val="center"/>
              <w:rPr>
                <w:rFonts w:ascii="Arial Narrow" w:hAnsi="Arial Narrow"/>
                <w:sz w:val="16"/>
                <w:szCs w:val="16"/>
              </w:rPr>
            </w:pPr>
            <w:r w:rsidRPr="007D5EBD">
              <w:rPr>
                <w:rFonts w:ascii="Arial Narrow" w:hAnsi="Arial Narrow"/>
                <w:sz w:val="16"/>
                <w:szCs w:val="16"/>
              </w:rPr>
              <w:t>Δάνεια</w:t>
            </w:r>
          </w:p>
        </w:tc>
        <w:tc>
          <w:tcPr>
            <w:tcW w:w="700" w:type="pct"/>
            <w:tcBorders>
              <w:top w:val="single" w:sz="4" w:space="0" w:color="BFBFBF"/>
              <w:left w:val="nil"/>
              <w:bottom w:val="single" w:sz="4" w:space="0" w:color="BFBFBF"/>
              <w:right w:val="nil"/>
            </w:tcBorders>
            <w:vAlign w:val="center"/>
          </w:tcPr>
          <w:p w:rsidR="00CD2D8A" w:rsidRPr="007D5EBD" w:rsidRDefault="00CD2D8A" w:rsidP="007D5EBD">
            <w:pPr>
              <w:ind w:right="340"/>
              <w:jc w:val="right"/>
              <w:rPr>
                <w:rFonts w:ascii="Arial Narrow" w:hAnsi="Arial Narrow"/>
                <w:sz w:val="16"/>
                <w:szCs w:val="16"/>
              </w:rPr>
            </w:pPr>
            <w:r w:rsidRPr="007D5EBD">
              <w:rPr>
                <w:rFonts w:ascii="Arial Narrow" w:hAnsi="Arial Narrow"/>
                <w:sz w:val="16"/>
                <w:szCs w:val="16"/>
              </w:rPr>
              <w:t>0</w:t>
            </w:r>
          </w:p>
        </w:tc>
        <w:tc>
          <w:tcPr>
            <w:tcW w:w="698" w:type="pct"/>
            <w:tcBorders>
              <w:top w:val="single" w:sz="4" w:space="0" w:color="BFBFBF"/>
              <w:left w:val="nil"/>
              <w:bottom w:val="single" w:sz="4" w:space="0" w:color="BFBFBF"/>
            </w:tcBorders>
            <w:vAlign w:val="center"/>
          </w:tcPr>
          <w:p w:rsidR="00CD2D8A" w:rsidRPr="007D5EBD" w:rsidRDefault="00CD2D8A" w:rsidP="007D5EBD">
            <w:pPr>
              <w:ind w:right="340"/>
              <w:jc w:val="right"/>
              <w:rPr>
                <w:rFonts w:ascii="Arial Narrow" w:hAnsi="Arial Narrow"/>
                <w:sz w:val="16"/>
                <w:szCs w:val="16"/>
              </w:rPr>
            </w:pPr>
            <w:r w:rsidRPr="007D5EBD">
              <w:rPr>
                <w:rFonts w:ascii="Arial Narrow" w:hAnsi="Arial Narrow"/>
                <w:sz w:val="16"/>
                <w:szCs w:val="16"/>
              </w:rPr>
              <w:t>1.272</w:t>
            </w:r>
          </w:p>
        </w:tc>
      </w:tr>
      <w:tr w:rsidR="00B22BE5" w:rsidRPr="00FE4CC7" w:rsidTr="007D5EBD">
        <w:trPr>
          <w:trHeight w:val="414"/>
        </w:trPr>
        <w:tc>
          <w:tcPr>
            <w:tcW w:w="2635" w:type="pct"/>
            <w:tcBorders>
              <w:top w:val="single" w:sz="4" w:space="0" w:color="BFBFBF"/>
              <w:bottom w:val="single" w:sz="4" w:space="0" w:color="BFBFBF"/>
              <w:right w:val="nil"/>
            </w:tcBorders>
            <w:vAlign w:val="center"/>
          </w:tcPr>
          <w:p w:rsidR="00CD2D8A" w:rsidRPr="007D5EBD" w:rsidRDefault="00CD2D8A" w:rsidP="008F24A5">
            <w:pPr>
              <w:rPr>
                <w:rFonts w:ascii="Arial Narrow" w:hAnsi="Arial Narrow"/>
                <w:sz w:val="16"/>
                <w:szCs w:val="16"/>
                <w:lang w:val="en-US"/>
              </w:rPr>
            </w:pPr>
            <w:r w:rsidRPr="007D5EBD">
              <w:rPr>
                <w:rFonts w:ascii="Arial Narrow" w:hAnsi="Arial Narrow"/>
                <w:sz w:val="16"/>
                <w:szCs w:val="16"/>
                <w:lang w:val="en-US"/>
              </w:rPr>
              <w:t>REACT-EU</w:t>
            </w:r>
          </w:p>
        </w:tc>
        <w:tc>
          <w:tcPr>
            <w:tcW w:w="967" w:type="pct"/>
            <w:tcBorders>
              <w:top w:val="single" w:sz="4" w:space="0" w:color="BFBFBF"/>
              <w:left w:val="nil"/>
              <w:bottom w:val="single" w:sz="4" w:space="0" w:color="BFBFBF"/>
              <w:right w:val="nil"/>
            </w:tcBorders>
            <w:vAlign w:val="center"/>
          </w:tcPr>
          <w:p w:rsidR="00CD2D8A" w:rsidRPr="007D5EBD" w:rsidRDefault="00CD2D8A" w:rsidP="007D5EBD">
            <w:pPr>
              <w:jc w:val="center"/>
              <w:rPr>
                <w:rFonts w:ascii="Arial Narrow" w:hAnsi="Arial Narrow"/>
                <w:sz w:val="16"/>
                <w:szCs w:val="16"/>
              </w:rPr>
            </w:pPr>
            <w:r w:rsidRPr="007D5EBD">
              <w:rPr>
                <w:rFonts w:ascii="Arial Narrow" w:hAnsi="Arial Narrow"/>
                <w:sz w:val="16"/>
                <w:szCs w:val="16"/>
              </w:rPr>
              <w:t>Επιχορηγήσεις</w:t>
            </w:r>
          </w:p>
        </w:tc>
        <w:tc>
          <w:tcPr>
            <w:tcW w:w="700" w:type="pct"/>
            <w:tcBorders>
              <w:top w:val="single" w:sz="4" w:space="0" w:color="BFBFBF"/>
              <w:left w:val="nil"/>
              <w:bottom w:val="single" w:sz="4" w:space="0" w:color="BFBFBF"/>
              <w:right w:val="nil"/>
            </w:tcBorders>
            <w:vAlign w:val="center"/>
          </w:tcPr>
          <w:p w:rsidR="00CD2D8A" w:rsidRPr="007D5EBD" w:rsidRDefault="00CD2D8A" w:rsidP="007D5EBD">
            <w:pPr>
              <w:ind w:right="340"/>
              <w:jc w:val="right"/>
              <w:textAlignment w:val="center"/>
              <w:rPr>
                <w:rFonts w:ascii="Arial Narrow" w:hAnsi="Arial Narrow"/>
                <w:sz w:val="16"/>
                <w:szCs w:val="16"/>
                <w:lang w:val="en-US"/>
              </w:rPr>
            </w:pPr>
            <w:r w:rsidRPr="007D5EBD">
              <w:rPr>
                <w:rFonts w:ascii="Arial Narrow" w:hAnsi="Arial Narrow"/>
                <w:sz w:val="16"/>
                <w:szCs w:val="16"/>
                <w:lang w:val="en-US"/>
              </w:rPr>
              <w:t>0</w:t>
            </w:r>
          </w:p>
        </w:tc>
        <w:tc>
          <w:tcPr>
            <w:tcW w:w="698" w:type="pct"/>
            <w:tcBorders>
              <w:top w:val="single" w:sz="4" w:space="0" w:color="BFBFBF"/>
              <w:left w:val="nil"/>
              <w:bottom w:val="single" w:sz="4" w:space="0" w:color="BFBFBF"/>
            </w:tcBorders>
            <w:vAlign w:val="center"/>
          </w:tcPr>
          <w:p w:rsidR="00CD2D8A" w:rsidRPr="007D5EBD" w:rsidRDefault="00CD2D8A" w:rsidP="007D5EBD">
            <w:pPr>
              <w:ind w:right="340"/>
              <w:jc w:val="right"/>
              <w:textAlignment w:val="center"/>
              <w:rPr>
                <w:rFonts w:ascii="Arial Narrow" w:hAnsi="Arial Narrow"/>
                <w:sz w:val="16"/>
                <w:szCs w:val="16"/>
              </w:rPr>
            </w:pPr>
            <w:r w:rsidRPr="007D5EBD">
              <w:rPr>
                <w:rFonts w:ascii="Arial Narrow" w:hAnsi="Arial Narrow"/>
                <w:sz w:val="16"/>
                <w:szCs w:val="16"/>
                <w:lang w:val="en-US"/>
              </w:rPr>
              <w:t>1.600</w:t>
            </w:r>
            <w:r w:rsidR="006B63AA" w:rsidRPr="007D5EBD">
              <w:rPr>
                <w:rFonts w:ascii="Arial Narrow" w:hAnsi="Arial Narrow"/>
                <w:sz w:val="16"/>
                <w:szCs w:val="16"/>
              </w:rPr>
              <w:t>*</w:t>
            </w:r>
            <w:r w:rsidR="004D553D">
              <w:rPr>
                <w:rFonts w:ascii="Arial Narrow" w:hAnsi="Arial Narrow"/>
                <w:sz w:val="16"/>
                <w:szCs w:val="16"/>
              </w:rPr>
              <w:t>*</w:t>
            </w:r>
          </w:p>
        </w:tc>
      </w:tr>
      <w:tr w:rsidR="00B22BE5" w:rsidRPr="002E21D1" w:rsidTr="007D5EBD">
        <w:trPr>
          <w:trHeight w:val="414"/>
        </w:trPr>
        <w:tc>
          <w:tcPr>
            <w:tcW w:w="2635" w:type="pct"/>
            <w:tcBorders>
              <w:top w:val="single" w:sz="4" w:space="0" w:color="BFBFBF"/>
              <w:bottom w:val="single" w:sz="4" w:space="0" w:color="auto"/>
              <w:right w:val="nil"/>
            </w:tcBorders>
            <w:vAlign w:val="center"/>
          </w:tcPr>
          <w:p w:rsidR="00CD2D8A" w:rsidRPr="007D5EBD" w:rsidRDefault="00CD2D8A" w:rsidP="008F24A5">
            <w:pPr>
              <w:rPr>
                <w:rFonts w:ascii="Arial Narrow" w:hAnsi="Arial Narrow"/>
                <w:b/>
                <w:bCs/>
                <w:sz w:val="16"/>
                <w:szCs w:val="16"/>
              </w:rPr>
            </w:pPr>
            <w:r w:rsidRPr="007D5EBD">
              <w:rPr>
                <w:rFonts w:ascii="Arial Narrow" w:hAnsi="Arial Narrow"/>
                <w:b/>
                <w:bCs/>
                <w:sz w:val="16"/>
                <w:szCs w:val="16"/>
              </w:rPr>
              <w:t>Σύνολο</w:t>
            </w:r>
          </w:p>
        </w:tc>
        <w:tc>
          <w:tcPr>
            <w:tcW w:w="967" w:type="pct"/>
            <w:tcBorders>
              <w:top w:val="single" w:sz="4" w:space="0" w:color="BFBFBF"/>
              <w:left w:val="nil"/>
              <w:bottom w:val="single" w:sz="4" w:space="0" w:color="auto"/>
              <w:right w:val="nil"/>
            </w:tcBorders>
            <w:vAlign w:val="center"/>
          </w:tcPr>
          <w:p w:rsidR="00CD2D8A" w:rsidRPr="007D5EBD" w:rsidRDefault="00CD2D8A" w:rsidP="007D5EBD">
            <w:pPr>
              <w:jc w:val="center"/>
              <w:rPr>
                <w:rFonts w:ascii="Arial Narrow" w:hAnsi="Arial Narrow"/>
                <w:b/>
                <w:bCs/>
                <w:sz w:val="16"/>
                <w:szCs w:val="16"/>
              </w:rPr>
            </w:pPr>
          </w:p>
        </w:tc>
        <w:tc>
          <w:tcPr>
            <w:tcW w:w="700" w:type="pct"/>
            <w:tcBorders>
              <w:top w:val="single" w:sz="4" w:space="0" w:color="BFBFBF"/>
              <w:left w:val="nil"/>
              <w:bottom w:val="single" w:sz="4" w:space="0" w:color="auto"/>
              <w:right w:val="nil"/>
            </w:tcBorders>
            <w:vAlign w:val="center"/>
          </w:tcPr>
          <w:p w:rsidR="00CD2D8A" w:rsidRPr="007D5EBD" w:rsidRDefault="00CD2D8A" w:rsidP="007D5EBD">
            <w:pPr>
              <w:ind w:right="340"/>
              <w:jc w:val="right"/>
              <w:rPr>
                <w:rFonts w:ascii="Arial Narrow" w:hAnsi="Arial Narrow"/>
                <w:b/>
                <w:bCs/>
                <w:sz w:val="16"/>
                <w:szCs w:val="16"/>
              </w:rPr>
            </w:pPr>
          </w:p>
        </w:tc>
        <w:tc>
          <w:tcPr>
            <w:tcW w:w="698" w:type="pct"/>
            <w:tcBorders>
              <w:top w:val="single" w:sz="4" w:space="0" w:color="BFBFBF"/>
              <w:left w:val="nil"/>
              <w:bottom w:val="single" w:sz="4" w:space="0" w:color="auto"/>
            </w:tcBorders>
            <w:vAlign w:val="center"/>
          </w:tcPr>
          <w:p w:rsidR="00CD2D8A" w:rsidRPr="007D5EBD" w:rsidRDefault="00CD2D8A" w:rsidP="007D5EBD">
            <w:pPr>
              <w:ind w:right="340"/>
              <w:jc w:val="right"/>
              <w:textAlignment w:val="center"/>
              <w:rPr>
                <w:rFonts w:ascii="Arial Narrow" w:hAnsi="Arial Narrow"/>
                <w:b/>
                <w:bCs/>
                <w:sz w:val="16"/>
                <w:szCs w:val="16"/>
                <w:lang w:val="en-US"/>
              </w:rPr>
            </w:pPr>
            <w:r w:rsidRPr="007D5EBD">
              <w:rPr>
                <w:rFonts w:ascii="Arial Narrow" w:hAnsi="Arial Narrow"/>
                <w:b/>
                <w:bCs/>
                <w:sz w:val="16"/>
                <w:szCs w:val="16"/>
                <w:lang w:val="en-US"/>
              </w:rPr>
              <w:t>5.507</w:t>
            </w:r>
          </w:p>
        </w:tc>
      </w:tr>
    </w:tbl>
    <w:p w:rsidR="00E317C6" w:rsidRPr="00E317C6" w:rsidRDefault="004D553D" w:rsidP="00E317C6">
      <w:pPr>
        <w:tabs>
          <w:tab w:val="left" w:pos="284"/>
        </w:tabs>
        <w:ind w:left="284" w:hanging="284"/>
        <w:jc w:val="both"/>
        <w:rPr>
          <w:rFonts w:ascii="Arial Narrow" w:hAnsi="Arial Narrow"/>
          <w:bCs/>
          <w:sz w:val="20"/>
          <w:szCs w:val="18"/>
        </w:rPr>
      </w:pPr>
      <w:r>
        <w:rPr>
          <w:rFonts w:ascii="Arial Narrow" w:hAnsi="Arial Narrow"/>
          <w:bCs/>
          <w:sz w:val="20"/>
          <w:szCs w:val="18"/>
        </w:rPr>
        <w:t>*</w:t>
      </w:r>
      <w:r w:rsidR="00E317C6" w:rsidRPr="00E317C6">
        <w:rPr>
          <w:rFonts w:ascii="Arial Narrow" w:hAnsi="Arial Narrow"/>
          <w:bCs/>
          <w:sz w:val="20"/>
          <w:szCs w:val="18"/>
        </w:rPr>
        <w:tab/>
      </w:r>
      <w:r>
        <w:rPr>
          <w:rFonts w:ascii="Arial Narrow" w:hAnsi="Arial Narrow"/>
          <w:bCs/>
          <w:sz w:val="20"/>
          <w:szCs w:val="18"/>
        </w:rPr>
        <w:t xml:space="preserve">Το ποσό των 2.635 έχει περιληφθεί ως έσοδο στις μεταβιβάσεις κεντρικής κυβέρνησης και ως δαπάνη στις πιστώσεις υπό κατανομή του </w:t>
      </w:r>
      <w:r w:rsidR="004E0B7E">
        <w:rPr>
          <w:rFonts w:ascii="Arial Narrow" w:hAnsi="Arial Narrow"/>
          <w:bCs/>
          <w:sz w:val="20"/>
          <w:szCs w:val="18"/>
        </w:rPr>
        <w:t>π</w:t>
      </w:r>
      <w:r>
        <w:rPr>
          <w:rFonts w:ascii="Arial Narrow" w:hAnsi="Arial Narrow"/>
          <w:bCs/>
          <w:sz w:val="20"/>
          <w:szCs w:val="18"/>
        </w:rPr>
        <w:t>ίνακα</w:t>
      </w:r>
      <w:r w:rsidR="004E0B7E">
        <w:rPr>
          <w:rFonts w:ascii="Arial Narrow" w:hAnsi="Arial Narrow"/>
          <w:bCs/>
          <w:sz w:val="20"/>
          <w:szCs w:val="18"/>
        </w:rPr>
        <w:t xml:space="preserve"> 2.1</w:t>
      </w:r>
    </w:p>
    <w:p w:rsidR="00CD2D8A" w:rsidRPr="006B63AA" w:rsidRDefault="006B63AA" w:rsidP="00E317C6">
      <w:pPr>
        <w:tabs>
          <w:tab w:val="left" w:pos="284"/>
        </w:tabs>
        <w:ind w:left="284" w:hanging="284"/>
        <w:jc w:val="both"/>
        <w:rPr>
          <w:rFonts w:ascii="Arial Narrow" w:hAnsi="Arial Narrow"/>
          <w:bCs/>
          <w:sz w:val="20"/>
          <w:szCs w:val="18"/>
        </w:rPr>
      </w:pPr>
      <w:r w:rsidRPr="006B63AA">
        <w:rPr>
          <w:rFonts w:ascii="Arial Narrow" w:hAnsi="Arial Narrow"/>
          <w:bCs/>
          <w:sz w:val="20"/>
          <w:szCs w:val="18"/>
        </w:rPr>
        <w:t>*</w:t>
      </w:r>
      <w:r w:rsidR="004D553D">
        <w:rPr>
          <w:rFonts w:ascii="Arial Narrow" w:hAnsi="Arial Narrow"/>
          <w:bCs/>
          <w:sz w:val="20"/>
          <w:szCs w:val="18"/>
        </w:rPr>
        <w:t>*</w:t>
      </w:r>
      <w:r w:rsidR="00E317C6" w:rsidRPr="00E317C6">
        <w:rPr>
          <w:rFonts w:ascii="Arial Narrow" w:hAnsi="Arial Narrow"/>
          <w:bCs/>
          <w:sz w:val="20"/>
          <w:szCs w:val="18"/>
        </w:rPr>
        <w:tab/>
      </w:r>
      <w:r w:rsidRPr="006B63AA">
        <w:rPr>
          <w:rFonts w:ascii="Arial Narrow" w:hAnsi="Arial Narrow"/>
          <w:bCs/>
          <w:sz w:val="20"/>
          <w:szCs w:val="18"/>
        </w:rPr>
        <w:t>Το ποσό αυτό είναι επιπλέον των δαπανών του ΠΔΕ που περιλαμβάνονται στον πίνακα 2.1.</w:t>
      </w:r>
    </w:p>
    <w:p w:rsidR="006F22B9" w:rsidRDefault="006F22B9" w:rsidP="00CD2D8A">
      <w:pPr>
        <w:shd w:val="clear" w:color="auto" w:fill="FFFFFF"/>
        <w:jc w:val="both"/>
        <w:rPr>
          <w:rFonts w:ascii="Arial Narrow" w:hAnsi="Arial Narrow"/>
          <w:sz w:val="18"/>
          <w:szCs w:val="18"/>
        </w:rPr>
      </w:pPr>
    </w:p>
    <w:p w:rsidR="006B63AA" w:rsidRPr="006B63AA" w:rsidRDefault="006B63AA" w:rsidP="00CD2D8A">
      <w:pPr>
        <w:shd w:val="clear" w:color="auto" w:fill="FFFFFF"/>
        <w:jc w:val="both"/>
        <w:rPr>
          <w:rFonts w:ascii="Arial Narrow" w:hAnsi="Arial Narrow"/>
          <w:sz w:val="18"/>
          <w:szCs w:val="18"/>
        </w:rPr>
      </w:pPr>
    </w:p>
    <w:p w:rsidR="00CD2D8A" w:rsidRPr="008F1DA9" w:rsidRDefault="00CD2D8A" w:rsidP="00CD2D8A">
      <w:pPr>
        <w:shd w:val="clear" w:color="auto" w:fill="FFFFFF"/>
        <w:jc w:val="both"/>
        <w:rPr>
          <w:sz w:val="22"/>
          <w:szCs w:val="22"/>
        </w:rPr>
      </w:pPr>
      <w:r w:rsidRPr="008F1DA9">
        <w:rPr>
          <w:szCs w:val="22"/>
        </w:rPr>
        <w:t xml:space="preserve">Για τη χρήση του </w:t>
      </w:r>
      <w:r w:rsidRPr="008F1DA9">
        <w:rPr>
          <w:szCs w:val="22"/>
          <w:lang w:val="en-US"/>
        </w:rPr>
        <w:t>Recovery</w:t>
      </w:r>
      <w:r w:rsidRPr="008F1DA9">
        <w:rPr>
          <w:szCs w:val="22"/>
        </w:rPr>
        <w:t xml:space="preserve"> </w:t>
      </w:r>
      <w:r w:rsidRPr="008F1DA9">
        <w:rPr>
          <w:szCs w:val="22"/>
          <w:lang w:val="en-US"/>
        </w:rPr>
        <w:t>and</w:t>
      </w:r>
      <w:r w:rsidRPr="008F1DA9">
        <w:rPr>
          <w:szCs w:val="22"/>
        </w:rPr>
        <w:t xml:space="preserve"> </w:t>
      </w:r>
      <w:r w:rsidRPr="008F1DA9">
        <w:rPr>
          <w:szCs w:val="22"/>
          <w:lang w:val="en-US"/>
        </w:rPr>
        <w:t>Resilience</w:t>
      </w:r>
      <w:r w:rsidRPr="008F1DA9">
        <w:rPr>
          <w:szCs w:val="22"/>
        </w:rPr>
        <w:t xml:space="preserve"> </w:t>
      </w:r>
      <w:r w:rsidRPr="008F1DA9">
        <w:rPr>
          <w:szCs w:val="22"/>
          <w:lang w:val="en-US"/>
        </w:rPr>
        <w:t>Facility</w:t>
      </w:r>
      <w:r w:rsidRPr="008F1DA9">
        <w:rPr>
          <w:szCs w:val="22"/>
        </w:rPr>
        <w:t xml:space="preserve"> τα κράτη μέλη θα καταρτίσουν </w:t>
      </w:r>
      <w:r w:rsidRPr="008F1DA9">
        <w:rPr>
          <w:b/>
          <w:bCs/>
          <w:szCs w:val="22"/>
        </w:rPr>
        <w:t>εθνικά σχέδια ανάκαμψης και ανθεκτικότητας</w:t>
      </w:r>
      <w:r w:rsidR="006B63AA">
        <w:rPr>
          <w:b/>
          <w:bCs/>
          <w:szCs w:val="22"/>
        </w:rPr>
        <w:t>,</w:t>
      </w:r>
      <w:r w:rsidRPr="008F1DA9">
        <w:rPr>
          <w:szCs w:val="22"/>
        </w:rPr>
        <w:t> στα οποία θα εκτίθεται η μεταρρυθμιστική και επενδυτική ατζέντα τους για τα έτη 2021-23. Τα σχέδια θα επανεξεταστούν και θα προσαρμοστούν ανάλογα με τις ανάγκες το 2022, ώστε να ληφθεί υπόψη η τελική κατανομή των κονδυλίων για το 2023.</w:t>
      </w:r>
    </w:p>
    <w:p w:rsidR="006F22B9" w:rsidRDefault="006F22B9" w:rsidP="00CD2D8A">
      <w:pPr>
        <w:shd w:val="clear" w:color="auto" w:fill="FFFFFF"/>
        <w:jc w:val="both"/>
        <w:rPr>
          <w:szCs w:val="22"/>
        </w:rPr>
      </w:pPr>
    </w:p>
    <w:p w:rsidR="00CD2D8A" w:rsidRDefault="00CD2D8A" w:rsidP="00CD2D8A">
      <w:pPr>
        <w:shd w:val="clear" w:color="auto" w:fill="FFFFFF"/>
        <w:jc w:val="both"/>
        <w:rPr>
          <w:szCs w:val="22"/>
        </w:rPr>
      </w:pPr>
      <w:r w:rsidRPr="008F1DA9">
        <w:rPr>
          <w:szCs w:val="22"/>
        </w:rPr>
        <w:t>Τα σχέδια ανάκαμψης και ανθεκτικότητας θα αξιολογηθούν από την Επιτροπή εντός δύο μηνών από την υποβολή τους με βάση μία σειρά κριτηρίων, μεταξύ άλλων:</w:t>
      </w:r>
    </w:p>
    <w:p w:rsidR="006B63AA" w:rsidRPr="008F1DA9" w:rsidRDefault="006B63AA" w:rsidP="00CD2D8A">
      <w:pPr>
        <w:shd w:val="clear" w:color="auto" w:fill="FFFFFF"/>
        <w:jc w:val="both"/>
        <w:rPr>
          <w:sz w:val="22"/>
          <w:szCs w:val="22"/>
        </w:rPr>
      </w:pPr>
    </w:p>
    <w:p w:rsidR="00CD2D8A" w:rsidRPr="008F1DA9" w:rsidRDefault="00CD2D8A" w:rsidP="00E317C6">
      <w:pPr>
        <w:numPr>
          <w:ilvl w:val="0"/>
          <w:numId w:val="17"/>
        </w:numPr>
        <w:shd w:val="clear" w:color="auto" w:fill="FFFFFF"/>
        <w:tabs>
          <w:tab w:val="clear" w:pos="720"/>
        </w:tabs>
        <w:ind w:left="284" w:hanging="284"/>
        <w:jc w:val="both"/>
        <w:rPr>
          <w:szCs w:val="22"/>
        </w:rPr>
      </w:pPr>
      <w:r w:rsidRPr="008F1DA9">
        <w:rPr>
          <w:szCs w:val="22"/>
        </w:rPr>
        <w:t>συνεκτικότητα με τις </w:t>
      </w:r>
      <w:r w:rsidRPr="008F1DA9">
        <w:rPr>
          <w:bCs/>
          <w:szCs w:val="22"/>
        </w:rPr>
        <w:t>ειδικές ανά χώρα συστάσεις,</w:t>
      </w:r>
      <w:r w:rsidRPr="008F1DA9">
        <w:rPr>
          <w:szCs w:val="22"/>
        </w:rPr>
        <w:t> </w:t>
      </w:r>
    </w:p>
    <w:p w:rsidR="00CD2D8A" w:rsidRPr="008F1DA9" w:rsidRDefault="00CD2D8A" w:rsidP="00E317C6">
      <w:pPr>
        <w:numPr>
          <w:ilvl w:val="0"/>
          <w:numId w:val="17"/>
        </w:numPr>
        <w:shd w:val="clear" w:color="auto" w:fill="FFFFFF"/>
        <w:tabs>
          <w:tab w:val="clear" w:pos="720"/>
        </w:tabs>
        <w:ind w:left="284" w:hanging="284"/>
        <w:jc w:val="both"/>
        <w:rPr>
          <w:szCs w:val="22"/>
        </w:rPr>
      </w:pPr>
      <w:r w:rsidRPr="008F1DA9">
        <w:rPr>
          <w:szCs w:val="22"/>
        </w:rPr>
        <w:t>ενίσχυση του </w:t>
      </w:r>
      <w:r w:rsidRPr="008F1DA9">
        <w:rPr>
          <w:bCs/>
          <w:szCs w:val="22"/>
        </w:rPr>
        <w:t>αναπτυξιακού δυναμικού</w:t>
      </w:r>
      <w:r w:rsidRPr="008F1DA9">
        <w:rPr>
          <w:szCs w:val="22"/>
        </w:rPr>
        <w:t>, </w:t>
      </w:r>
      <w:r w:rsidRPr="008F1DA9">
        <w:rPr>
          <w:bCs/>
          <w:szCs w:val="22"/>
        </w:rPr>
        <w:t>δημιουργία θέσεων εργασίας</w:t>
      </w:r>
      <w:r w:rsidRPr="008F1DA9">
        <w:rPr>
          <w:szCs w:val="22"/>
        </w:rPr>
        <w:t xml:space="preserve"> και </w:t>
      </w:r>
      <w:r w:rsidRPr="008F1DA9">
        <w:rPr>
          <w:bCs/>
          <w:szCs w:val="22"/>
        </w:rPr>
        <w:t>οικονομι</w:t>
      </w:r>
      <w:r w:rsidR="006B63AA">
        <w:rPr>
          <w:bCs/>
          <w:szCs w:val="22"/>
        </w:rPr>
        <w:t xml:space="preserve">κή και κοινωνική ανθεκτικότητα </w:t>
      </w:r>
      <w:r w:rsidRPr="008F1DA9">
        <w:rPr>
          <w:szCs w:val="22"/>
        </w:rPr>
        <w:t>του κράτους μέλους και</w:t>
      </w:r>
    </w:p>
    <w:p w:rsidR="00CD2D8A" w:rsidRPr="008F1DA9" w:rsidRDefault="00CD2D8A" w:rsidP="00E317C6">
      <w:pPr>
        <w:numPr>
          <w:ilvl w:val="0"/>
          <w:numId w:val="17"/>
        </w:numPr>
        <w:shd w:val="clear" w:color="auto" w:fill="FFFFFF"/>
        <w:tabs>
          <w:tab w:val="clear" w:pos="720"/>
        </w:tabs>
        <w:ind w:left="284" w:hanging="284"/>
        <w:jc w:val="both"/>
        <w:rPr>
          <w:szCs w:val="22"/>
        </w:rPr>
      </w:pPr>
      <w:r w:rsidRPr="008F1DA9">
        <w:rPr>
          <w:szCs w:val="22"/>
        </w:rPr>
        <w:t>αποτελεσματική συμβολή στην </w:t>
      </w:r>
      <w:r w:rsidRPr="008F1DA9">
        <w:rPr>
          <w:bCs/>
          <w:szCs w:val="22"/>
        </w:rPr>
        <w:t>πράσινη και ψηφιακή μετάβαση, που αναμένεται ότι τελικά θα πρέπει να απορροφήσουν το 37% και το 20% αντίστοιχα</w:t>
      </w:r>
      <w:r w:rsidR="006B63AA">
        <w:rPr>
          <w:bCs/>
          <w:szCs w:val="22"/>
        </w:rPr>
        <w:t>,</w:t>
      </w:r>
      <w:r w:rsidRPr="008F1DA9">
        <w:rPr>
          <w:bCs/>
          <w:szCs w:val="22"/>
        </w:rPr>
        <w:t xml:space="preserve"> των πόρων του Ταμείου Ανάκαμψης και Ανθεκτικότητας.</w:t>
      </w:r>
    </w:p>
    <w:p w:rsidR="006B63AA" w:rsidRDefault="006B63AA" w:rsidP="00CD2D8A">
      <w:pPr>
        <w:shd w:val="clear" w:color="auto" w:fill="FFFFFF"/>
        <w:jc w:val="both"/>
        <w:rPr>
          <w:szCs w:val="22"/>
        </w:rPr>
      </w:pPr>
    </w:p>
    <w:p w:rsidR="00CD2D8A" w:rsidRPr="008F1DA9" w:rsidRDefault="00CD2D8A" w:rsidP="00CD2D8A">
      <w:pPr>
        <w:shd w:val="clear" w:color="auto" w:fill="FFFFFF"/>
        <w:jc w:val="both"/>
        <w:rPr>
          <w:szCs w:val="22"/>
        </w:rPr>
      </w:pPr>
      <w:r w:rsidRPr="008F1DA9">
        <w:rPr>
          <w:szCs w:val="22"/>
        </w:rPr>
        <w:t>Η θετική αξιολόγηση των αιτήσεων πληρωμών θα εξαρτηθεί από την ικανοποιητική εκπλήρωση των σχετικών οροσήμων και στόχων.</w:t>
      </w:r>
    </w:p>
    <w:p w:rsidR="006B63AA" w:rsidRDefault="006B63AA" w:rsidP="00CD2D8A">
      <w:pPr>
        <w:shd w:val="clear" w:color="auto" w:fill="FFFFFF"/>
        <w:jc w:val="both"/>
        <w:rPr>
          <w:szCs w:val="22"/>
        </w:rPr>
      </w:pPr>
    </w:p>
    <w:p w:rsidR="00CD2D8A" w:rsidRPr="008F1DA9" w:rsidRDefault="00CD2D8A" w:rsidP="00CD2D8A">
      <w:pPr>
        <w:shd w:val="clear" w:color="auto" w:fill="FFFFFF"/>
        <w:jc w:val="both"/>
        <w:rPr>
          <w:sz w:val="22"/>
          <w:szCs w:val="22"/>
        </w:rPr>
      </w:pPr>
      <w:r w:rsidRPr="008F1DA9">
        <w:rPr>
          <w:szCs w:val="22"/>
        </w:rPr>
        <w:t xml:space="preserve">Η αξιολόγηση των σχεδίων ανάκαμψης και ανθεκτικότητας εγκρίνεται από το Συμβούλιο, με ειδική πλειοψηφία βάσει πρότασης </w:t>
      </w:r>
      <w:r w:rsidR="006B63AA">
        <w:rPr>
          <w:szCs w:val="22"/>
        </w:rPr>
        <w:t>της Ευρωπαϊκής</w:t>
      </w:r>
      <w:r w:rsidRPr="008F1DA9">
        <w:rPr>
          <w:szCs w:val="22"/>
        </w:rPr>
        <w:t xml:space="preserve"> Επιτροπής, μέσω σχετικής εκτελεστικής πράξης. Οι νομικές </w:t>
      </w:r>
      <w:r w:rsidR="006B63AA">
        <w:rPr>
          <w:szCs w:val="22"/>
        </w:rPr>
        <w:t>δεσμεύσεις θα αναληφθούν έως την</w:t>
      </w:r>
      <w:r w:rsidRPr="008F1DA9">
        <w:rPr>
          <w:szCs w:val="22"/>
        </w:rPr>
        <w:t xml:space="preserve"> 31</w:t>
      </w:r>
      <w:r w:rsidR="006B63AA">
        <w:rPr>
          <w:szCs w:val="22"/>
        </w:rPr>
        <w:t>η</w:t>
      </w:r>
      <w:r w:rsidRPr="008F1DA9">
        <w:rPr>
          <w:szCs w:val="22"/>
        </w:rPr>
        <w:t xml:space="preserve"> Δεκεμβρίου 2023. Οι σχετικές πληρω</w:t>
      </w:r>
      <w:r w:rsidR="006B63AA">
        <w:rPr>
          <w:szCs w:val="22"/>
        </w:rPr>
        <w:t>μές θα γίνουν έως την</w:t>
      </w:r>
      <w:r w:rsidRPr="008F1DA9">
        <w:rPr>
          <w:szCs w:val="22"/>
        </w:rPr>
        <w:t xml:space="preserve"> 31</w:t>
      </w:r>
      <w:r w:rsidR="006B63AA">
        <w:rPr>
          <w:szCs w:val="22"/>
        </w:rPr>
        <w:t>η</w:t>
      </w:r>
      <w:r w:rsidRPr="008F1DA9">
        <w:rPr>
          <w:szCs w:val="22"/>
        </w:rPr>
        <w:t xml:space="preserve"> Δεκεμβρίου 2026.</w:t>
      </w:r>
    </w:p>
    <w:p w:rsidR="006B63AA" w:rsidRDefault="006B63AA" w:rsidP="00CD2D8A">
      <w:pPr>
        <w:jc w:val="both"/>
        <w:rPr>
          <w:szCs w:val="22"/>
        </w:rPr>
      </w:pPr>
    </w:p>
    <w:p w:rsidR="00CD2D8A" w:rsidRDefault="00CD2D8A" w:rsidP="00CD2D8A">
      <w:pPr>
        <w:jc w:val="both"/>
        <w:rPr>
          <w:szCs w:val="22"/>
        </w:rPr>
      </w:pPr>
      <w:r>
        <w:rPr>
          <w:szCs w:val="22"/>
        </w:rPr>
        <w:t xml:space="preserve">Το Εθνικό Σχέδιο Ανάκαμψης και Ανθεκτικότητας αναμένεται να υποβληθεί στα Ευρωπαϊκά Όργανα στο πρώτο τρίμηνο του 2021 και να εγκριθεί στο αμέσως επόμενο τρίμηνο, κατά τη </w:t>
      </w:r>
      <w:r>
        <w:rPr>
          <w:szCs w:val="22"/>
        </w:rPr>
        <w:lastRenderedPageBreak/>
        <w:t>διάρκεια του οποίου είναι πιθανό να υπάρξει η πρώτη εκταμίευση (προκαταβολή) για το</w:t>
      </w:r>
      <w:r w:rsidR="006B63AA">
        <w:rPr>
          <w:szCs w:val="22"/>
        </w:rPr>
        <w:t>ν</w:t>
      </w:r>
      <w:r>
        <w:rPr>
          <w:szCs w:val="22"/>
        </w:rPr>
        <w:t xml:space="preserve"> </w:t>
      </w:r>
      <w:r w:rsidR="006B63AA">
        <w:rPr>
          <w:szCs w:val="22"/>
        </w:rPr>
        <w:t>Μηχανισμό</w:t>
      </w:r>
      <w:r>
        <w:rPr>
          <w:szCs w:val="22"/>
        </w:rPr>
        <w:t xml:space="preserve"> Ανάκαμψης και Ανθεκτικότητας (</w:t>
      </w:r>
      <w:r w:rsidRPr="00577988">
        <w:rPr>
          <w:szCs w:val="22"/>
          <w:lang w:val="en-US"/>
        </w:rPr>
        <w:t>Recovery</w:t>
      </w:r>
      <w:r w:rsidRPr="007E2010">
        <w:rPr>
          <w:szCs w:val="22"/>
        </w:rPr>
        <w:t xml:space="preserve"> </w:t>
      </w:r>
      <w:r w:rsidRPr="00577988">
        <w:rPr>
          <w:szCs w:val="22"/>
          <w:lang w:val="en-US"/>
        </w:rPr>
        <w:t>and</w:t>
      </w:r>
      <w:r w:rsidRPr="007E2010">
        <w:rPr>
          <w:szCs w:val="22"/>
        </w:rPr>
        <w:t xml:space="preserve"> </w:t>
      </w:r>
      <w:r w:rsidRPr="00577988">
        <w:rPr>
          <w:szCs w:val="22"/>
          <w:lang w:val="en-US"/>
        </w:rPr>
        <w:t>Resilience</w:t>
      </w:r>
      <w:r w:rsidRPr="007E2010">
        <w:rPr>
          <w:szCs w:val="22"/>
        </w:rPr>
        <w:t xml:space="preserve"> </w:t>
      </w:r>
      <w:r w:rsidRPr="00577988">
        <w:rPr>
          <w:szCs w:val="22"/>
          <w:lang w:val="en-US"/>
        </w:rPr>
        <w:t>Facility</w:t>
      </w:r>
      <w:r>
        <w:rPr>
          <w:szCs w:val="22"/>
        </w:rPr>
        <w:t xml:space="preserve">), ενώ είναι πιθανό να υπάρξει εντός του 2021 και μια ακόμα εκταμίευση, αφού </w:t>
      </w:r>
      <w:r w:rsidR="006B63AA">
        <w:rPr>
          <w:szCs w:val="22"/>
        </w:rPr>
        <w:t xml:space="preserve">αυτές </w:t>
      </w:r>
      <w:r>
        <w:rPr>
          <w:szCs w:val="22"/>
        </w:rPr>
        <w:t xml:space="preserve">είναι εξαμηνιαίες. </w:t>
      </w:r>
    </w:p>
    <w:p w:rsidR="00CD2D8A" w:rsidRDefault="00CD2D8A" w:rsidP="00CD2D8A">
      <w:pPr>
        <w:jc w:val="both"/>
        <w:rPr>
          <w:szCs w:val="22"/>
        </w:rPr>
      </w:pPr>
    </w:p>
    <w:p w:rsidR="00CD2D8A" w:rsidRDefault="006B63AA" w:rsidP="00CD2D8A">
      <w:pPr>
        <w:jc w:val="both"/>
        <w:rPr>
          <w:szCs w:val="22"/>
        </w:rPr>
      </w:pPr>
      <w:r>
        <w:rPr>
          <w:szCs w:val="22"/>
        </w:rPr>
        <w:t xml:space="preserve">Ο Μηχανισμός </w:t>
      </w:r>
      <w:r w:rsidR="00CD2D8A">
        <w:rPr>
          <w:szCs w:val="22"/>
        </w:rPr>
        <w:t xml:space="preserve">Ανάκαμψης </w:t>
      </w:r>
      <w:r>
        <w:rPr>
          <w:szCs w:val="22"/>
        </w:rPr>
        <w:t xml:space="preserve">και Ανθεκτικότητας </w:t>
      </w:r>
      <w:r w:rsidR="00CD2D8A">
        <w:rPr>
          <w:szCs w:val="22"/>
        </w:rPr>
        <w:t>αφορά επενδύσεις, προγράμματα (</w:t>
      </w:r>
      <w:r>
        <w:rPr>
          <w:szCs w:val="22"/>
        </w:rPr>
        <w:t>όπως</w:t>
      </w:r>
      <w:r w:rsidR="00CD2D8A">
        <w:rPr>
          <w:szCs w:val="22"/>
        </w:rPr>
        <w:t xml:space="preserve"> προγράμματα κατάρτισης ή ενεργειακής αναβάθμισης) και μεταρρυθμίσεις που υλοποιήθηκαν από τον Φεβρουάριο του 2020 και εντεύθεν, συνεπώς η απορρόφηση των σχετικών πόρων μπορεί και πρόκειται να ξεκινήσει πριν την επίσημη έγκρισή του. Η μακροοικονομική επίπτωση των παρεμβάσεων που θα γίνουν στο πλαίσιο αυτό εντός του 2021, λόγω των σημαντικών επενδυτικών δαπανών που περιλαμβάνει </w:t>
      </w:r>
      <w:r>
        <w:rPr>
          <w:szCs w:val="22"/>
        </w:rPr>
        <w:t>ο Μηχανισμός</w:t>
      </w:r>
      <w:r w:rsidR="00CD2D8A">
        <w:rPr>
          <w:szCs w:val="22"/>
        </w:rPr>
        <w:t xml:space="preserve"> θα επηρεάσουν μέσω των σχετικών πολλαπλασιαστών, πέραν του 2021 και το ΑΕΠ και τα δημόσια έσοδα του 2022.</w:t>
      </w:r>
    </w:p>
    <w:p w:rsidR="00CD2D8A" w:rsidRDefault="00CD2D8A" w:rsidP="00CD2D8A">
      <w:pPr>
        <w:jc w:val="both"/>
        <w:rPr>
          <w:szCs w:val="22"/>
        </w:rPr>
      </w:pPr>
    </w:p>
    <w:p w:rsidR="00CD2D8A" w:rsidRDefault="00CD2D8A" w:rsidP="00CD2D8A">
      <w:pPr>
        <w:jc w:val="both"/>
        <w:rPr>
          <w:szCs w:val="22"/>
        </w:rPr>
      </w:pPr>
      <w:r>
        <w:rPr>
          <w:szCs w:val="22"/>
        </w:rPr>
        <w:t xml:space="preserve">Πέραν του </w:t>
      </w:r>
      <w:r w:rsidR="006B63AA">
        <w:rPr>
          <w:szCs w:val="22"/>
        </w:rPr>
        <w:t>Μηχανισμού</w:t>
      </w:r>
      <w:r>
        <w:rPr>
          <w:szCs w:val="22"/>
        </w:rPr>
        <w:t xml:space="preserve"> Ανάκαμψης</w:t>
      </w:r>
      <w:r w:rsidR="006B63AA">
        <w:rPr>
          <w:szCs w:val="22"/>
        </w:rPr>
        <w:t xml:space="preserve"> και Ανθεκτικότητας</w:t>
      </w:r>
      <w:r>
        <w:rPr>
          <w:szCs w:val="22"/>
        </w:rPr>
        <w:t xml:space="preserve">, κατά το 2021 σημαντική θα είναι και η συμβολή του </w:t>
      </w:r>
      <w:r>
        <w:rPr>
          <w:szCs w:val="22"/>
          <w:lang w:val="en-US"/>
        </w:rPr>
        <w:t>React</w:t>
      </w:r>
      <w:r>
        <w:rPr>
          <w:szCs w:val="22"/>
        </w:rPr>
        <w:t>-</w:t>
      </w:r>
      <w:r>
        <w:rPr>
          <w:szCs w:val="22"/>
          <w:lang w:val="en-US"/>
        </w:rPr>
        <w:t>EU</w:t>
      </w:r>
      <w:r w:rsidRPr="007E2010">
        <w:rPr>
          <w:szCs w:val="22"/>
        </w:rPr>
        <w:t xml:space="preserve">, </w:t>
      </w:r>
      <w:r>
        <w:rPr>
          <w:szCs w:val="22"/>
        </w:rPr>
        <w:t xml:space="preserve">το οποίο είναι ένα πρόγραμμα γέφυρα και περιλαμβάνει δράσεις και δαπάνες για την αντιμετώπιση της κρίσης του </w:t>
      </w:r>
      <w:proofErr w:type="spellStart"/>
      <w:r>
        <w:rPr>
          <w:szCs w:val="22"/>
          <w:lang w:val="en-US"/>
        </w:rPr>
        <w:t>C</w:t>
      </w:r>
      <w:r w:rsidR="006B63AA">
        <w:rPr>
          <w:szCs w:val="22"/>
          <w:lang w:val="en-US"/>
        </w:rPr>
        <w:t>ovid</w:t>
      </w:r>
      <w:proofErr w:type="spellEnd"/>
      <w:r w:rsidR="006B63AA">
        <w:rPr>
          <w:szCs w:val="22"/>
        </w:rPr>
        <w:t>-</w:t>
      </w:r>
      <w:r w:rsidRPr="007E2010">
        <w:rPr>
          <w:szCs w:val="22"/>
        </w:rPr>
        <w:t>19.</w:t>
      </w:r>
      <w:r>
        <w:rPr>
          <w:szCs w:val="22"/>
        </w:rPr>
        <w:t xml:space="preserve"> Το πρόγραμμα αυτό επικεντρώνεται στην ενίσχυση της ανθεκτικότητας των συστημάτων υγείας, τη διατήρηση και δημιουργία θέσεων εργασίας, την ενίσχυση των φτωχότερων πολιτών</w:t>
      </w:r>
      <w:r w:rsidR="006B63AA">
        <w:rPr>
          <w:szCs w:val="22"/>
        </w:rPr>
        <w:t>,</w:t>
      </w:r>
      <w:r>
        <w:rPr>
          <w:szCs w:val="22"/>
        </w:rPr>
        <w:t xml:space="preserve"> την παροχή κεφαλαίου κίνησης και την ενίσχυση των επενδύσεων των μι</w:t>
      </w:r>
      <w:r w:rsidR="006B63AA">
        <w:rPr>
          <w:szCs w:val="22"/>
        </w:rPr>
        <w:t xml:space="preserve">κρών και μεσαίων επιχειρήσεων. </w:t>
      </w:r>
      <w:r w:rsidR="00833ECC">
        <w:rPr>
          <w:szCs w:val="22"/>
        </w:rPr>
        <w:t>Σ</w:t>
      </w:r>
      <w:r>
        <w:rPr>
          <w:szCs w:val="22"/>
        </w:rPr>
        <w:t>ημαντι</w:t>
      </w:r>
      <w:r w:rsidR="006B63AA">
        <w:rPr>
          <w:szCs w:val="22"/>
        </w:rPr>
        <w:t>κοί</w:t>
      </w:r>
      <w:r>
        <w:rPr>
          <w:szCs w:val="22"/>
        </w:rPr>
        <w:t xml:space="preserve"> </w:t>
      </w:r>
      <w:r w:rsidR="006B63AA">
        <w:rPr>
          <w:szCs w:val="22"/>
        </w:rPr>
        <w:t>πόροι</w:t>
      </w:r>
      <w:r>
        <w:rPr>
          <w:szCs w:val="22"/>
        </w:rPr>
        <w:t xml:space="preserve"> στους τομείς αυτούς θα διοχετευτούν εντός του 2021 μέσω του </w:t>
      </w:r>
      <w:r>
        <w:rPr>
          <w:szCs w:val="22"/>
          <w:lang w:val="en-US"/>
        </w:rPr>
        <w:t>React</w:t>
      </w:r>
      <w:r w:rsidRPr="007E2010">
        <w:rPr>
          <w:szCs w:val="22"/>
        </w:rPr>
        <w:t>-</w:t>
      </w:r>
      <w:r>
        <w:rPr>
          <w:szCs w:val="22"/>
          <w:lang w:val="en-US"/>
        </w:rPr>
        <w:t>EU</w:t>
      </w:r>
      <w:r w:rsidRPr="007E2010">
        <w:rPr>
          <w:szCs w:val="22"/>
        </w:rPr>
        <w:t>.</w:t>
      </w:r>
    </w:p>
    <w:p w:rsidR="00CD2D8A" w:rsidRDefault="00CD2D8A" w:rsidP="00CD2D8A">
      <w:pPr>
        <w:jc w:val="both"/>
        <w:rPr>
          <w:szCs w:val="22"/>
        </w:rPr>
      </w:pPr>
    </w:p>
    <w:p w:rsidR="00CD2D8A" w:rsidRPr="00BF5D50" w:rsidRDefault="00CD2D8A" w:rsidP="00CD2D8A">
      <w:pPr>
        <w:jc w:val="both"/>
        <w:rPr>
          <w:szCs w:val="22"/>
        </w:rPr>
      </w:pPr>
      <w:r>
        <w:rPr>
          <w:szCs w:val="22"/>
        </w:rPr>
        <w:t xml:space="preserve">Αθροιστικά οι πόροι που προβλέπονται το 2021 από όλα τα εργαλεία του μηχανισμού του </w:t>
      </w:r>
      <w:r>
        <w:rPr>
          <w:szCs w:val="22"/>
          <w:lang w:val="en-US"/>
        </w:rPr>
        <w:t>Next</w:t>
      </w:r>
      <w:r w:rsidRPr="007E2010">
        <w:rPr>
          <w:szCs w:val="22"/>
        </w:rPr>
        <w:t xml:space="preserve"> </w:t>
      </w:r>
      <w:r>
        <w:rPr>
          <w:szCs w:val="22"/>
          <w:lang w:val="en-US"/>
        </w:rPr>
        <w:t>Generation</w:t>
      </w:r>
      <w:r w:rsidRPr="007E2010">
        <w:rPr>
          <w:szCs w:val="22"/>
        </w:rPr>
        <w:t xml:space="preserve"> </w:t>
      </w:r>
      <w:r>
        <w:rPr>
          <w:szCs w:val="22"/>
          <w:lang w:val="en-US"/>
        </w:rPr>
        <w:t>EU</w:t>
      </w:r>
      <w:r>
        <w:rPr>
          <w:szCs w:val="22"/>
        </w:rPr>
        <w:t>, περιλαμβανομένων και των δανείων</w:t>
      </w:r>
      <w:r w:rsidRPr="007E2010">
        <w:rPr>
          <w:szCs w:val="22"/>
        </w:rPr>
        <w:t xml:space="preserve"> </w:t>
      </w:r>
      <w:r>
        <w:rPr>
          <w:szCs w:val="22"/>
        </w:rPr>
        <w:t>ανα</w:t>
      </w:r>
      <w:r w:rsidR="006B63AA">
        <w:rPr>
          <w:szCs w:val="22"/>
        </w:rPr>
        <w:t>μένεται να ξεπεράσουν τα 5,5 δισ.</w:t>
      </w:r>
      <w:r>
        <w:rPr>
          <w:szCs w:val="22"/>
        </w:rPr>
        <w:t xml:space="preserve"> ευρώ με αντίστοιχο ποσοστό απορρόφησης, με την εξαίρεση μόνο κάποιων δαπανών που πραγματοποιήθηκαν το 2020 και θα πληρωθούν, εφόσον περιληφθούν στα σχετικά εργαλεία, το 2021. </w:t>
      </w:r>
    </w:p>
    <w:p w:rsidR="00CD2D8A" w:rsidRPr="00BF5D50" w:rsidRDefault="00CD2D8A" w:rsidP="00CD2D8A">
      <w:pPr>
        <w:jc w:val="both"/>
        <w:rPr>
          <w:szCs w:val="22"/>
        </w:rPr>
      </w:pPr>
    </w:p>
    <w:p w:rsidR="00CD2D8A" w:rsidRPr="00F127D8" w:rsidRDefault="00CD2D8A" w:rsidP="00CD2D8A">
      <w:pPr>
        <w:jc w:val="both"/>
        <w:rPr>
          <w:szCs w:val="22"/>
        </w:rPr>
      </w:pPr>
    </w:p>
    <w:p w:rsidR="000A462C" w:rsidRPr="00430C68" w:rsidRDefault="000A462C" w:rsidP="003377C3">
      <w:pPr>
        <w:rPr>
          <w:strike/>
          <w:szCs w:val="22"/>
        </w:rPr>
      </w:pPr>
    </w:p>
    <w:p w:rsidR="00FE4CC7" w:rsidRDefault="00FE4CC7" w:rsidP="004F40E8">
      <w:pPr>
        <w:contextualSpacing/>
        <w:jc w:val="both"/>
        <w:rPr>
          <w:strike/>
          <w:szCs w:val="22"/>
        </w:rPr>
      </w:pPr>
    </w:p>
    <w:p w:rsidR="00FE4CC7" w:rsidRDefault="00FE4CC7" w:rsidP="004F40E8">
      <w:pPr>
        <w:contextualSpacing/>
        <w:jc w:val="both"/>
        <w:rPr>
          <w:strike/>
          <w:szCs w:val="22"/>
        </w:rPr>
      </w:pPr>
    </w:p>
    <w:p w:rsidR="00FE4CC7" w:rsidRPr="00430C68" w:rsidRDefault="00FE4CC7" w:rsidP="004F40E8">
      <w:pPr>
        <w:contextualSpacing/>
        <w:jc w:val="both"/>
        <w:rPr>
          <w:strike/>
          <w:szCs w:val="22"/>
        </w:rPr>
      </w:pPr>
    </w:p>
    <w:p w:rsidR="003377C3" w:rsidRPr="00430C68" w:rsidRDefault="003377C3" w:rsidP="004F40E8">
      <w:pPr>
        <w:jc w:val="both"/>
        <w:rPr>
          <w:strike/>
          <w:szCs w:val="22"/>
        </w:rPr>
      </w:pPr>
    </w:p>
    <w:p w:rsidR="003377C3" w:rsidRPr="00430C68" w:rsidRDefault="003377C3" w:rsidP="004F40E8">
      <w:pPr>
        <w:jc w:val="both"/>
        <w:rPr>
          <w:strike/>
          <w:szCs w:val="22"/>
        </w:rPr>
        <w:sectPr w:rsidR="003377C3" w:rsidRPr="00430C68" w:rsidSect="00261EA1">
          <w:headerReference w:type="even" r:id="rId17"/>
          <w:headerReference w:type="default" r:id="rId18"/>
          <w:footerReference w:type="even" r:id="rId19"/>
          <w:footerReference w:type="default" r:id="rId20"/>
          <w:pgSz w:w="11906" w:h="16838" w:code="9"/>
          <w:pgMar w:top="1418" w:right="1418" w:bottom="1418" w:left="1418" w:header="709" w:footer="709" w:gutter="0"/>
          <w:cols w:space="708"/>
          <w:docGrid w:linePitch="360"/>
        </w:sectPr>
      </w:pPr>
    </w:p>
    <w:p w:rsidR="00F463A0" w:rsidRPr="0079069C" w:rsidRDefault="00F463A0" w:rsidP="00F463A0">
      <w:pPr>
        <w:jc w:val="both"/>
        <w:rPr>
          <w:rFonts w:ascii="Arial Narrow" w:hAnsi="Arial Narrow"/>
          <w:b/>
          <w:color w:val="000080"/>
          <w:sz w:val="40"/>
          <w:szCs w:val="22"/>
        </w:rPr>
      </w:pPr>
      <w:r w:rsidRPr="0079069C">
        <w:rPr>
          <w:rFonts w:ascii="Arial Narrow" w:hAnsi="Arial Narrow"/>
          <w:b/>
          <w:color w:val="000080"/>
          <w:sz w:val="40"/>
          <w:szCs w:val="22"/>
        </w:rPr>
        <w:lastRenderedPageBreak/>
        <w:t>ΔΗΜΟΣΙΟ ΧΡΕΟΣ</w:t>
      </w:r>
    </w:p>
    <w:p w:rsidR="003E7B61" w:rsidRPr="0079069C" w:rsidRDefault="003E7B61" w:rsidP="003E7B61">
      <w:pPr>
        <w:jc w:val="both"/>
      </w:pPr>
    </w:p>
    <w:p w:rsidR="0079069C" w:rsidRPr="0079069C" w:rsidRDefault="0079069C" w:rsidP="0079069C">
      <w:pPr>
        <w:jc w:val="both"/>
      </w:pPr>
      <w:r w:rsidRPr="0079069C">
        <w:t>Τα υψηλά ταμειακά διαθέσιμα σε συνδυασμό με τις περιορισμένες χρηματοδοτικές ανάγκες του Ελληνικού Δημοσίου για το τρέχον έτος δημιούργησαν ευνοϊκές συνθήκες για τη συνέχιση της επιτυχημένης παρουσίας της χώρας στις κεφαλαιαγορές, η οποία είχε ως εφαλτήριο την έκδοση δεκαπενταετούς ομολόγου στις αρχές Φεβρουαρίου για πρώτη φορά μετά από το 2009. Ακολούθησαν τρεις ακόμα εκδόσεις ομολόγων οι οποίες είχαν μεγάλο ποσοστό υπερκάλυψης του βιβλίου προσφορών τους και διατέθηκαν κυρίως σε τελικούς επενδυτές. Η συνέχιση της εκδοτικής δραστηριότητας ομαλοπο</w:t>
      </w:r>
      <w:r w:rsidR="0010172E">
        <w:t>ίησε το προφίλ λήξεων του δημόσι</w:t>
      </w:r>
      <w:r w:rsidRPr="0079069C">
        <w:t xml:space="preserve">ου χρέους και εμπλούτισε περαιτέρω την καμπύλη αποδόσεων αναφοράς των ελληνικών κρατικών χρεογράφων, τόσο σε όγκο όσο και σε ρευστότητα. </w:t>
      </w:r>
    </w:p>
    <w:p w:rsidR="0079069C" w:rsidRPr="0079069C" w:rsidRDefault="0079069C" w:rsidP="0079069C">
      <w:pPr>
        <w:jc w:val="both"/>
      </w:pPr>
    </w:p>
    <w:p w:rsidR="0079069C" w:rsidRPr="0079069C" w:rsidRDefault="0079069C" w:rsidP="0079069C">
      <w:pPr>
        <w:jc w:val="both"/>
      </w:pPr>
      <w:r w:rsidRPr="0079069C">
        <w:t xml:space="preserve">Εξίσου ικανοποιητική ήταν και η πορεία διαπραγμάτευσης των ομολόγων στη δευτερογενή αγορά, παρά την πρόσκαιρη επιδείνωση κατά το δεύτερο τρίμηνο του έτους λόγω της κρίσης του </w:t>
      </w:r>
      <w:proofErr w:type="spellStart"/>
      <w:r w:rsidRPr="0079069C">
        <w:t>κορωνοϊού</w:t>
      </w:r>
      <w:proofErr w:type="spellEnd"/>
      <w:r w:rsidRPr="0079069C">
        <w:t>, η οποία συνεπικουρούμενη από τη συμμετοχή των ελληνικών κρατικών χρεογράφων στο πρόγραμμα αγοράς χρεογράφων της Ευρωπαϊκής Κεντρικής Τράπεζας οδήγησε σταδιακά τις αποδόσεις τους σε ιστορικά χαμηλά επίπεδα.</w:t>
      </w:r>
    </w:p>
    <w:p w:rsidR="0079069C" w:rsidRPr="0079069C" w:rsidRDefault="0079069C" w:rsidP="0079069C">
      <w:pPr>
        <w:jc w:val="both"/>
      </w:pPr>
      <w:r w:rsidRPr="0079069C">
        <w:t xml:space="preserve"> </w:t>
      </w:r>
    </w:p>
    <w:p w:rsidR="0079069C" w:rsidRPr="0079069C" w:rsidRDefault="0079069C" w:rsidP="0079069C">
      <w:pPr>
        <w:jc w:val="both"/>
      </w:pPr>
      <w:r w:rsidRPr="0079069C">
        <w:t xml:space="preserve">Ειδικότερα, οι χρηματοδοτικές ανάγκες του Ελληνικού Δημοσίου κατά τη διάρκεια του 2020 καλύφθηκαν από κοινοπρακτικές εκδόσεις ομολόγων σταθερού επιτοκίου, δεκαπενταετούς, επταετούς και δεκαετούς διάρκειας, συνολικού ύψους 10.000 εκατ. ευρώ και αναχρηματοδότηση βραχυπρόθεσμου χρέους. Ο βραχυπρόθεσμος δανεισμός του Ελληνικού Δημοσίου πραγματοποιήθηκε μέσω εκδόσεων εντόκων γραμματίων τρίμηνης, εξάμηνης και ετήσιας διάρκειας, καθώς επίσης και μέσω πράξεων διαχείρισης ταμειακής ρευστότητας υπό τη μορφή </w:t>
      </w:r>
      <w:proofErr w:type="spellStart"/>
      <w:r w:rsidRPr="0079069C">
        <w:t>repo</w:t>
      </w:r>
      <w:proofErr w:type="spellEnd"/>
      <w:r w:rsidRPr="0079069C">
        <w:t xml:space="preserve"> </w:t>
      </w:r>
      <w:proofErr w:type="spellStart"/>
      <w:r w:rsidRPr="0079069C">
        <w:t>agreements</w:t>
      </w:r>
      <w:proofErr w:type="spellEnd"/>
      <w:r w:rsidRPr="0079069C">
        <w:t xml:space="preserve">, τις οποίες συνάπτει ο Οργανισμός Διαχείρισης Δημοσίου Χρέους (ΟΔΔΗΧ) για την αξιοποίηση των διαθεσίμων, κυρίως, των φορέων της Γενικής Κυβέρνησης. </w:t>
      </w:r>
    </w:p>
    <w:p w:rsidR="0079069C" w:rsidRPr="0079069C" w:rsidRDefault="0079069C" w:rsidP="0079069C">
      <w:pPr>
        <w:jc w:val="both"/>
      </w:pPr>
    </w:p>
    <w:p w:rsidR="0079069C" w:rsidRPr="0079069C" w:rsidRDefault="0079069C" w:rsidP="0079069C">
      <w:pPr>
        <w:jc w:val="both"/>
      </w:pPr>
      <w:r w:rsidRPr="0079069C">
        <w:t xml:space="preserve">Στις 31/08/2020, το σύνολο των ευρωπαϊκών δανείων του πρώτου, του δεύτερου και του τρίτου προγράμματος στήριξης (GLF, EFSF, ESM) ανήλθε σε 243.501,1 εκατ. ευρώ, ενώ τα ανεξόφλητα δάνεια προς το Διεθνές Νομισματικό Ταμείο διαμορφώθηκαν σε 5.412,0 εκατ. ευρώ. </w:t>
      </w:r>
    </w:p>
    <w:p w:rsidR="003E7B61" w:rsidRPr="0079069C" w:rsidRDefault="003E7B61" w:rsidP="003E7B61">
      <w:pPr>
        <w:jc w:val="both"/>
      </w:pPr>
    </w:p>
    <w:p w:rsidR="003E7B61" w:rsidRPr="0079069C" w:rsidRDefault="003E7B61" w:rsidP="003E7B61">
      <w:pPr>
        <w:jc w:val="both"/>
      </w:pPr>
    </w:p>
    <w:p w:rsidR="003E7B61" w:rsidRPr="0079069C" w:rsidRDefault="003E7B61" w:rsidP="003E7B61">
      <w:pPr>
        <w:shd w:val="clear" w:color="auto" w:fill="BFBFBF"/>
        <w:tabs>
          <w:tab w:val="left" w:pos="540"/>
        </w:tabs>
        <w:ind w:left="540" w:hanging="540"/>
        <w:jc w:val="both"/>
        <w:rPr>
          <w:rFonts w:ascii="Arial Narrow" w:hAnsi="Arial Narrow"/>
          <w:b/>
          <w:sz w:val="26"/>
          <w:szCs w:val="22"/>
        </w:rPr>
      </w:pPr>
      <w:r w:rsidRPr="0079069C">
        <w:rPr>
          <w:rFonts w:ascii="Arial Narrow" w:hAnsi="Arial Narrow"/>
          <w:b/>
          <w:sz w:val="26"/>
          <w:szCs w:val="22"/>
        </w:rPr>
        <w:t>1.</w:t>
      </w:r>
      <w:r w:rsidRPr="0079069C">
        <w:rPr>
          <w:rFonts w:ascii="Arial Narrow" w:hAnsi="Arial Narrow"/>
          <w:b/>
          <w:sz w:val="26"/>
          <w:szCs w:val="22"/>
        </w:rPr>
        <w:tab/>
        <w:t>Σύνθεση δημόσιου χρέους</w:t>
      </w:r>
    </w:p>
    <w:p w:rsidR="003E7B61" w:rsidRPr="00430C68" w:rsidRDefault="003E7B61" w:rsidP="003E7B61">
      <w:pPr>
        <w:jc w:val="both"/>
        <w:rPr>
          <w:b/>
          <w:strike/>
          <w:szCs w:val="22"/>
        </w:rPr>
      </w:pPr>
    </w:p>
    <w:p w:rsidR="003E7B61" w:rsidRPr="00251FFD" w:rsidRDefault="003E7B61" w:rsidP="003E7B61">
      <w:pPr>
        <w:keepNext/>
        <w:jc w:val="both"/>
        <w:outlineLvl w:val="3"/>
        <w:rPr>
          <w:rFonts w:ascii="Arial Narrow" w:hAnsi="Arial Narrow"/>
          <w:b/>
          <w:color w:val="000080"/>
          <w:szCs w:val="22"/>
        </w:rPr>
      </w:pPr>
      <w:r w:rsidRPr="00251FFD">
        <w:rPr>
          <w:rFonts w:ascii="Arial Narrow" w:hAnsi="Arial Narrow"/>
          <w:b/>
          <w:color w:val="000080"/>
          <w:szCs w:val="22"/>
        </w:rPr>
        <w:t>Το χρέος της Κεντρικής και Γενικής Κυβέρνησης</w:t>
      </w:r>
    </w:p>
    <w:p w:rsidR="00251FFD" w:rsidRPr="00DB3F3A" w:rsidRDefault="00251FFD" w:rsidP="00251FFD">
      <w:pPr>
        <w:jc w:val="both"/>
        <w:rPr>
          <w:sz w:val="22"/>
          <w:szCs w:val="22"/>
        </w:rPr>
      </w:pPr>
    </w:p>
    <w:p w:rsidR="00251FFD" w:rsidRPr="00725208" w:rsidRDefault="00251FFD" w:rsidP="00251FFD">
      <w:pPr>
        <w:jc w:val="both"/>
        <w:rPr>
          <w:szCs w:val="22"/>
        </w:rPr>
      </w:pPr>
      <w:r w:rsidRPr="00725208">
        <w:rPr>
          <w:szCs w:val="22"/>
        </w:rPr>
        <w:t xml:space="preserve">Το χρέος της Κεντρικής Διοίκησης εκτιμάται ότι θα διαμορφωθεί στα 369.100 εκατ. ευρώ ή 216,2% ως ποσοστό του ΑΕΠ στο τέλος του 2020, έναντι 356.015 εκατ. ευρώ ή 189,9% ως ποσοστό του ΑΕΠ το 2019, παρουσιάζοντας αύξηση κατά 26,3 ποσοστιαίες μονάδες έναντι του 2019. </w:t>
      </w:r>
    </w:p>
    <w:p w:rsidR="00251FFD" w:rsidRPr="00725208" w:rsidRDefault="00251FFD" w:rsidP="00251FFD">
      <w:pPr>
        <w:jc w:val="both"/>
        <w:rPr>
          <w:szCs w:val="22"/>
        </w:rPr>
      </w:pPr>
    </w:p>
    <w:p w:rsidR="00251FFD" w:rsidRPr="00725208" w:rsidRDefault="00251FFD" w:rsidP="00251FFD">
      <w:pPr>
        <w:jc w:val="both"/>
        <w:rPr>
          <w:szCs w:val="22"/>
        </w:rPr>
      </w:pPr>
      <w:r w:rsidRPr="00725208">
        <w:rPr>
          <w:szCs w:val="22"/>
        </w:rPr>
        <w:t>Το 2021 το ύψος του χρέους της Κεντρικής Διοίκησης προβλέπεται ότι θα διαμορφωθεί στα 374.500 εκατ. ευρώ ή 202,2% ως ποσοστό του ΑΕΠ, παρουσιάζοντας μείωση κατά 14,0 ποσοστιαίες μονάδες έναντι του 2020.</w:t>
      </w:r>
    </w:p>
    <w:p w:rsidR="00251FFD" w:rsidRPr="00725208" w:rsidRDefault="00251FFD" w:rsidP="00251FFD">
      <w:pPr>
        <w:jc w:val="both"/>
        <w:rPr>
          <w:szCs w:val="22"/>
        </w:rPr>
      </w:pPr>
    </w:p>
    <w:p w:rsidR="00251FFD" w:rsidRPr="00725208" w:rsidRDefault="00251FFD" w:rsidP="00251FFD">
      <w:pPr>
        <w:jc w:val="both"/>
        <w:rPr>
          <w:szCs w:val="22"/>
        </w:rPr>
      </w:pPr>
      <w:r w:rsidRPr="00725208">
        <w:rPr>
          <w:szCs w:val="22"/>
        </w:rPr>
        <w:t xml:space="preserve">Το χρέος της Γενικής Κυβέρνησης εκτιμάται ότι θα διαμορφωθεί στα 337.000 εκατ. ευρώ ή 197,4% ως ποσοστό του ΑΕΠ στο τέλος του 2020, έναντι 331.063 εκατ. ευρώ ή 176,6% ως ποσοστό του ΑΕΠ το 2019, παρουσιάζοντας αύξηση κατά 20,8 ποσοστιαίες μονάδες έναντι </w:t>
      </w:r>
      <w:r w:rsidRPr="00725208">
        <w:rPr>
          <w:szCs w:val="22"/>
        </w:rPr>
        <w:lastRenderedPageBreak/>
        <w:t xml:space="preserve">του 2019. Το 2021, το χρέος της Γενικής Κυβέρνησης προβλέπεται ότι θα διαμορφωθεί στα 342.000 εκατ. ευρώ ή 184,7% ως ποσοστό του ΑΕΠ, παρουσιάζοντας μείωση κατά 12,7 ποσοστιαίες μονάδες του ΑΕΠ έναντι του 2020 (πίνακας 3.1). </w:t>
      </w:r>
    </w:p>
    <w:p w:rsidR="003E7B61" w:rsidRPr="00430C68" w:rsidRDefault="003E7B61" w:rsidP="003E7B61">
      <w:pPr>
        <w:jc w:val="both"/>
        <w:rPr>
          <w:strike/>
        </w:rPr>
      </w:pPr>
    </w:p>
    <w:tbl>
      <w:tblPr>
        <w:tblW w:w="9087" w:type="dxa"/>
        <w:tblInd w:w="93" w:type="dxa"/>
        <w:tblLayout w:type="fixed"/>
        <w:tblLook w:val="04A0" w:firstRow="1" w:lastRow="0" w:firstColumn="1" w:lastColumn="0" w:noHBand="0" w:noVBand="1"/>
      </w:tblPr>
      <w:tblGrid>
        <w:gridCol w:w="4268"/>
        <w:gridCol w:w="850"/>
        <w:gridCol w:w="851"/>
        <w:gridCol w:w="850"/>
        <w:gridCol w:w="851"/>
        <w:gridCol w:w="709"/>
        <w:gridCol w:w="708"/>
      </w:tblGrid>
      <w:tr w:rsidR="003E7B61" w:rsidRPr="00251FFD" w:rsidTr="00CA1549">
        <w:trPr>
          <w:trHeight w:val="561"/>
        </w:trPr>
        <w:tc>
          <w:tcPr>
            <w:tcW w:w="9087" w:type="dxa"/>
            <w:gridSpan w:val="7"/>
            <w:tcBorders>
              <w:top w:val="single" w:sz="4" w:space="0" w:color="auto"/>
              <w:left w:val="single" w:sz="4" w:space="0" w:color="auto"/>
              <w:right w:val="single" w:sz="4" w:space="0" w:color="000000"/>
            </w:tcBorders>
            <w:shd w:val="clear" w:color="auto" w:fill="auto"/>
            <w:noWrap/>
            <w:tcMar>
              <w:left w:w="57" w:type="dxa"/>
              <w:right w:w="57" w:type="dxa"/>
            </w:tcMar>
            <w:vAlign w:val="bottom"/>
            <w:hideMark/>
          </w:tcPr>
          <w:p w:rsidR="003E7B61" w:rsidRPr="00251FFD" w:rsidRDefault="003E7B61" w:rsidP="00CA1549">
            <w:pPr>
              <w:spacing w:before="120"/>
              <w:jc w:val="center"/>
              <w:rPr>
                <w:rFonts w:ascii="Arial Narrow" w:hAnsi="Arial Narrow" w:cs="Arial"/>
                <w:b/>
                <w:bCs/>
              </w:rPr>
            </w:pPr>
            <w:r w:rsidRPr="00251FFD">
              <w:rPr>
                <w:rFonts w:ascii="Arial Narrow" w:hAnsi="Arial Narrow" w:cs="Arial"/>
                <w:b/>
                <w:bCs/>
              </w:rPr>
              <w:t>Πίνακας 3.1   Σύνθεση δημόσιου χρέους</w:t>
            </w:r>
          </w:p>
          <w:p w:rsidR="003E7B61" w:rsidRPr="00251FFD" w:rsidRDefault="003E7B61" w:rsidP="00CA1549">
            <w:pPr>
              <w:spacing w:after="120"/>
              <w:jc w:val="center"/>
              <w:rPr>
                <w:rFonts w:ascii="Arial Narrow" w:hAnsi="Arial Narrow" w:cs="Arial"/>
                <w:b/>
                <w:bCs/>
              </w:rPr>
            </w:pPr>
            <w:r w:rsidRPr="00251FFD">
              <w:rPr>
                <w:rFonts w:ascii="Arial Narrow" w:hAnsi="Arial Narrow" w:cs="Arial"/>
                <w:b/>
                <w:bCs/>
              </w:rPr>
              <w:t>(σε εκατ. ευρώ)</w:t>
            </w:r>
          </w:p>
        </w:tc>
      </w:tr>
      <w:tr w:rsidR="003E7B61" w:rsidRPr="00251FFD" w:rsidTr="00CA1549">
        <w:trPr>
          <w:trHeight w:val="276"/>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E7B61" w:rsidRPr="00251FFD" w:rsidRDefault="003E7B61" w:rsidP="00CA1549">
            <w:pPr>
              <w:jc w:val="center"/>
              <w:rPr>
                <w:rFonts w:ascii="Arial Narrow" w:hAnsi="Arial Narrow" w:cs="Arial"/>
                <w:sz w:val="16"/>
                <w:szCs w:val="16"/>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3E7B61" w:rsidRPr="00251FFD" w:rsidRDefault="003E7B61" w:rsidP="00CA1549">
            <w:pPr>
              <w:jc w:val="center"/>
              <w:rPr>
                <w:rFonts w:ascii="Arial Narrow" w:hAnsi="Arial Narrow" w:cs="Arial"/>
                <w:b/>
                <w:bCs/>
                <w:sz w:val="16"/>
                <w:szCs w:val="16"/>
                <w:lang w:val="en-US"/>
              </w:rPr>
            </w:pPr>
            <w:r w:rsidRPr="00251FFD">
              <w:rPr>
                <w:rFonts w:ascii="Arial Narrow" w:hAnsi="Arial Narrow" w:cs="Arial"/>
                <w:b/>
                <w:bCs/>
                <w:sz w:val="16"/>
                <w:szCs w:val="16"/>
              </w:rPr>
              <w:t>201</w:t>
            </w:r>
            <w:r w:rsidR="00251FFD">
              <w:rPr>
                <w:rFonts w:ascii="Arial Narrow" w:hAnsi="Arial Narrow" w:cs="Arial"/>
                <w:b/>
                <w:bCs/>
                <w:sz w:val="16"/>
                <w:szCs w:val="16"/>
                <w:lang w:val="en-US"/>
              </w:rPr>
              <w:t>6</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3E7B61" w:rsidRPr="00251FFD" w:rsidRDefault="003E7B61" w:rsidP="00CA1549">
            <w:pPr>
              <w:jc w:val="center"/>
              <w:rPr>
                <w:rFonts w:ascii="Arial Narrow" w:hAnsi="Arial Narrow" w:cs="Arial"/>
                <w:b/>
                <w:bCs/>
                <w:sz w:val="16"/>
                <w:szCs w:val="16"/>
                <w:lang w:val="en-US"/>
              </w:rPr>
            </w:pPr>
            <w:r w:rsidRPr="00251FFD">
              <w:rPr>
                <w:rFonts w:ascii="Arial Narrow" w:hAnsi="Arial Narrow" w:cs="Arial"/>
                <w:b/>
                <w:bCs/>
                <w:sz w:val="16"/>
                <w:szCs w:val="16"/>
              </w:rPr>
              <w:t>201</w:t>
            </w:r>
            <w:r w:rsidR="00251FFD">
              <w:rPr>
                <w:rFonts w:ascii="Arial Narrow" w:hAnsi="Arial Narrow" w:cs="Arial"/>
                <w:b/>
                <w:bCs/>
                <w:sz w:val="16"/>
                <w:szCs w:val="16"/>
                <w:lang w:val="en-US"/>
              </w:rPr>
              <w:t>7</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3E7B61" w:rsidRPr="00251FFD" w:rsidRDefault="003E7B61" w:rsidP="00CA1549">
            <w:pPr>
              <w:jc w:val="center"/>
              <w:rPr>
                <w:rFonts w:ascii="Arial Narrow" w:hAnsi="Arial Narrow" w:cs="Arial"/>
                <w:b/>
                <w:bCs/>
                <w:sz w:val="16"/>
                <w:szCs w:val="16"/>
                <w:lang w:val="en-US"/>
              </w:rPr>
            </w:pPr>
            <w:r w:rsidRPr="00251FFD">
              <w:rPr>
                <w:rFonts w:ascii="Arial Narrow" w:hAnsi="Arial Narrow" w:cs="Arial"/>
                <w:b/>
                <w:bCs/>
                <w:sz w:val="16"/>
                <w:szCs w:val="16"/>
              </w:rPr>
              <w:t>201</w:t>
            </w:r>
            <w:r w:rsidR="00251FFD">
              <w:rPr>
                <w:rFonts w:ascii="Arial Narrow" w:hAnsi="Arial Narrow" w:cs="Arial"/>
                <w:b/>
                <w:bCs/>
                <w:sz w:val="16"/>
                <w:szCs w:val="16"/>
                <w:lang w:val="en-US"/>
              </w:rPr>
              <w:t>8</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3E7B61" w:rsidRPr="00251FFD" w:rsidRDefault="003E7B61" w:rsidP="00CA1549">
            <w:pPr>
              <w:jc w:val="center"/>
              <w:rPr>
                <w:rFonts w:ascii="Arial Narrow" w:hAnsi="Arial Narrow" w:cs="Arial"/>
                <w:b/>
                <w:bCs/>
                <w:sz w:val="16"/>
                <w:szCs w:val="16"/>
                <w:lang w:val="en-US"/>
              </w:rPr>
            </w:pPr>
            <w:r w:rsidRPr="00251FFD">
              <w:rPr>
                <w:rFonts w:ascii="Arial Narrow" w:hAnsi="Arial Narrow" w:cs="Arial"/>
                <w:b/>
                <w:bCs/>
                <w:sz w:val="16"/>
                <w:szCs w:val="16"/>
              </w:rPr>
              <w:t>201</w:t>
            </w:r>
            <w:r w:rsidR="00251FFD">
              <w:rPr>
                <w:rFonts w:ascii="Arial Narrow" w:hAnsi="Arial Narrow" w:cs="Arial"/>
                <w:b/>
                <w:bCs/>
                <w:sz w:val="16"/>
                <w:szCs w:val="16"/>
                <w:lang w:val="en-US"/>
              </w:rPr>
              <w:t>9</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3E7B61" w:rsidRPr="00251FFD" w:rsidRDefault="00251FFD" w:rsidP="00CA1549">
            <w:pPr>
              <w:jc w:val="center"/>
              <w:rPr>
                <w:rFonts w:ascii="Arial Narrow" w:hAnsi="Arial Narrow" w:cs="Arial"/>
                <w:b/>
                <w:bCs/>
                <w:sz w:val="16"/>
                <w:szCs w:val="16"/>
              </w:rPr>
            </w:pPr>
            <w:r>
              <w:rPr>
                <w:rFonts w:ascii="Arial Narrow" w:hAnsi="Arial Narrow" w:cs="Arial"/>
                <w:b/>
                <w:bCs/>
                <w:sz w:val="16"/>
                <w:szCs w:val="16"/>
              </w:rPr>
              <w:t>20</w:t>
            </w:r>
            <w:r>
              <w:rPr>
                <w:rFonts w:ascii="Arial Narrow" w:hAnsi="Arial Narrow" w:cs="Arial"/>
                <w:b/>
                <w:bCs/>
                <w:sz w:val="16"/>
                <w:szCs w:val="16"/>
                <w:lang w:val="en-US"/>
              </w:rPr>
              <w:t>20</w:t>
            </w:r>
            <w:r w:rsidR="003E7B61" w:rsidRPr="00251FFD">
              <w:rPr>
                <w:rFonts w:ascii="Arial Narrow" w:hAnsi="Arial Narrow" w:cs="Arial"/>
                <w:b/>
                <w:bCs/>
                <w:sz w:val="16"/>
                <w:szCs w:val="16"/>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E7B61" w:rsidRPr="00251FFD" w:rsidRDefault="003E7B61" w:rsidP="00CA1549">
            <w:pPr>
              <w:jc w:val="center"/>
              <w:rPr>
                <w:rFonts w:ascii="Arial Narrow" w:hAnsi="Arial Narrow" w:cs="Arial"/>
                <w:b/>
                <w:bCs/>
                <w:sz w:val="16"/>
                <w:szCs w:val="16"/>
              </w:rPr>
            </w:pPr>
            <w:r w:rsidRPr="00251FFD">
              <w:rPr>
                <w:rFonts w:ascii="Arial Narrow" w:hAnsi="Arial Narrow" w:cs="Arial"/>
                <w:b/>
                <w:bCs/>
                <w:sz w:val="16"/>
                <w:szCs w:val="16"/>
              </w:rPr>
              <w:t>20</w:t>
            </w:r>
            <w:r w:rsidR="00251FFD">
              <w:rPr>
                <w:rFonts w:ascii="Arial Narrow" w:hAnsi="Arial Narrow" w:cs="Arial"/>
                <w:b/>
                <w:bCs/>
                <w:sz w:val="16"/>
                <w:szCs w:val="16"/>
                <w:lang w:val="en-US"/>
              </w:rPr>
              <w:t>21</w:t>
            </w:r>
            <w:r w:rsidRPr="00251FFD">
              <w:rPr>
                <w:rFonts w:ascii="Arial Narrow" w:hAnsi="Arial Narrow" w:cs="Arial"/>
                <w:b/>
                <w:bCs/>
                <w:sz w:val="16"/>
                <w:szCs w:val="16"/>
              </w:rPr>
              <w:t>**</w:t>
            </w:r>
          </w:p>
        </w:tc>
      </w:tr>
      <w:tr w:rsidR="003E7B61" w:rsidRPr="00251FFD" w:rsidTr="00CA1549">
        <w:trPr>
          <w:trHeight w:val="276"/>
        </w:trPr>
        <w:tc>
          <w:tcPr>
            <w:tcW w:w="426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E7B61" w:rsidRPr="00251FFD" w:rsidRDefault="003E7B61" w:rsidP="00CA1549">
            <w:pPr>
              <w:rPr>
                <w:rFonts w:ascii="Arial Narrow" w:hAnsi="Arial Narrow" w:cs="Arial"/>
                <w:sz w:val="16"/>
                <w:szCs w:val="16"/>
              </w:rPr>
            </w:pPr>
          </w:p>
        </w:tc>
        <w:tc>
          <w:tcPr>
            <w:tcW w:w="850"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3E7B61" w:rsidRPr="00251FFD" w:rsidRDefault="003E7B61" w:rsidP="00CA1549">
            <w:pPr>
              <w:rPr>
                <w:rFonts w:ascii="Arial Narrow" w:hAnsi="Arial Narrow" w:cs="Arial"/>
                <w:b/>
                <w:bCs/>
                <w:sz w:val="16"/>
                <w:szCs w:val="16"/>
              </w:rPr>
            </w:pPr>
          </w:p>
        </w:tc>
        <w:tc>
          <w:tcPr>
            <w:tcW w:w="85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3E7B61" w:rsidRPr="00251FFD" w:rsidRDefault="003E7B61" w:rsidP="00CA1549">
            <w:pPr>
              <w:rPr>
                <w:rFonts w:ascii="Arial Narrow" w:hAnsi="Arial Narrow" w:cs="Arial"/>
                <w:b/>
                <w:bCs/>
                <w:sz w:val="16"/>
                <w:szCs w:val="16"/>
              </w:rPr>
            </w:pPr>
          </w:p>
        </w:tc>
        <w:tc>
          <w:tcPr>
            <w:tcW w:w="850"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3E7B61" w:rsidRPr="00251FFD" w:rsidRDefault="003E7B61" w:rsidP="00CA1549">
            <w:pPr>
              <w:rPr>
                <w:rFonts w:ascii="Arial Narrow" w:hAnsi="Arial Narrow" w:cs="Arial"/>
                <w:b/>
                <w:bCs/>
                <w:sz w:val="16"/>
                <w:szCs w:val="16"/>
              </w:rPr>
            </w:pPr>
          </w:p>
        </w:tc>
        <w:tc>
          <w:tcPr>
            <w:tcW w:w="85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3E7B61" w:rsidRPr="00251FFD" w:rsidRDefault="003E7B61" w:rsidP="00CA1549">
            <w:pPr>
              <w:rPr>
                <w:rFonts w:ascii="Arial Narrow" w:hAnsi="Arial Narrow" w:cs="Arial"/>
                <w:b/>
                <w:bCs/>
                <w:sz w:val="16"/>
                <w:szCs w:val="16"/>
              </w:rPr>
            </w:pPr>
          </w:p>
        </w:tc>
        <w:tc>
          <w:tcPr>
            <w:tcW w:w="709"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3E7B61" w:rsidRPr="00251FFD" w:rsidRDefault="003E7B61" w:rsidP="00CA1549">
            <w:pPr>
              <w:rPr>
                <w:rFonts w:ascii="Arial Narrow" w:hAnsi="Arial Narrow" w:cs="Arial"/>
                <w:b/>
                <w:bCs/>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E7B61" w:rsidRPr="00251FFD" w:rsidRDefault="003E7B61" w:rsidP="00CA1549">
            <w:pPr>
              <w:rPr>
                <w:rFonts w:ascii="Arial Narrow" w:hAnsi="Arial Narrow" w:cs="Arial"/>
                <w:b/>
                <w:bCs/>
                <w:sz w:val="16"/>
                <w:szCs w:val="16"/>
              </w:rPr>
            </w:pPr>
          </w:p>
        </w:tc>
      </w:tr>
      <w:tr w:rsidR="00F459BB" w:rsidRPr="00251FFD" w:rsidTr="00CA1549">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459BB" w:rsidRPr="00251FFD" w:rsidRDefault="00F459BB" w:rsidP="00CA1549">
            <w:pPr>
              <w:rPr>
                <w:rFonts w:ascii="Arial Narrow" w:hAnsi="Arial Narrow" w:cs="Arial"/>
                <w:sz w:val="16"/>
                <w:szCs w:val="16"/>
              </w:rPr>
            </w:pPr>
            <w:r w:rsidRPr="00251FFD">
              <w:rPr>
                <w:rFonts w:ascii="Arial Narrow" w:hAnsi="Arial Narrow" w:cs="Arial"/>
                <w:sz w:val="16"/>
                <w:szCs w:val="16"/>
              </w:rPr>
              <w:t>Ομόλογα</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56.717</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50.457</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51.551</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55.601</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64.237</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70.732</w:t>
            </w:r>
          </w:p>
        </w:tc>
      </w:tr>
      <w:tr w:rsidR="00F459BB" w:rsidRPr="00251FFD" w:rsidTr="00CA1549">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459BB" w:rsidRPr="00251FFD" w:rsidRDefault="00F459BB" w:rsidP="00CA1549">
            <w:pPr>
              <w:rPr>
                <w:rFonts w:ascii="Arial Narrow" w:hAnsi="Arial Narrow" w:cs="Arial"/>
                <w:sz w:val="16"/>
                <w:szCs w:val="16"/>
              </w:rPr>
            </w:pPr>
            <w:r w:rsidRPr="00251FFD">
              <w:rPr>
                <w:rFonts w:ascii="Arial Narrow" w:hAnsi="Arial Narrow" w:cs="Arial"/>
                <w:sz w:val="16"/>
                <w:szCs w:val="16"/>
              </w:rPr>
              <w:t>Βραχυπρόθεσμοι τίτλοι</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14.890</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14.943</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15.280</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12.613</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12.800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12.800</w:t>
            </w:r>
          </w:p>
        </w:tc>
      </w:tr>
      <w:tr w:rsidR="00F459BB" w:rsidRPr="00251FFD" w:rsidTr="00CA1549">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459BB" w:rsidRPr="00251FFD" w:rsidRDefault="00F459BB" w:rsidP="00CA1549">
            <w:pPr>
              <w:rPr>
                <w:rFonts w:ascii="Arial Narrow" w:hAnsi="Arial Narrow" w:cs="Arial"/>
                <w:sz w:val="16"/>
                <w:szCs w:val="16"/>
              </w:rPr>
            </w:pPr>
            <w:r w:rsidRPr="00251FFD">
              <w:rPr>
                <w:rFonts w:ascii="Arial Narrow" w:hAnsi="Arial Narrow" w:cs="Arial"/>
                <w:sz w:val="16"/>
                <w:szCs w:val="16"/>
              </w:rPr>
              <w:t>Δάνεια</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243.388</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248.373</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267.597</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258.898</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259.063</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257.968</w:t>
            </w:r>
          </w:p>
        </w:tc>
      </w:tr>
      <w:tr w:rsidR="00F459BB" w:rsidRPr="00251FFD" w:rsidTr="00CA1549">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459BB" w:rsidRPr="00251FFD" w:rsidRDefault="00F459BB" w:rsidP="00CA1549">
            <w:pPr>
              <w:rPr>
                <w:rFonts w:ascii="Arial Narrow" w:hAnsi="Arial Narrow" w:cs="Arial"/>
                <w:sz w:val="16"/>
                <w:szCs w:val="16"/>
              </w:rPr>
            </w:pPr>
            <w:r w:rsidRPr="00251FFD">
              <w:rPr>
                <w:rFonts w:ascii="Arial Narrow" w:hAnsi="Arial Narrow" w:cs="Arial"/>
                <w:sz w:val="16"/>
                <w:szCs w:val="16"/>
              </w:rPr>
              <w:t>Βραχυπρόθεσμα Δάνεια</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11.363</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14.931</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24.521</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28.903</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33.000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33.000</w:t>
            </w:r>
          </w:p>
        </w:tc>
      </w:tr>
      <w:tr w:rsidR="00F459BB" w:rsidRPr="00251FFD" w:rsidTr="00CA1549">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459BB" w:rsidRPr="00251FFD" w:rsidRDefault="00F459BB" w:rsidP="00CA1549">
            <w:pPr>
              <w:rPr>
                <w:rFonts w:ascii="Arial Narrow" w:hAnsi="Arial Narrow" w:cs="Arial"/>
                <w:b/>
                <w:bCs/>
                <w:sz w:val="16"/>
                <w:szCs w:val="16"/>
              </w:rPr>
            </w:pPr>
            <w:r w:rsidRPr="00251FFD">
              <w:rPr>
                <w:rFonts w:ascii="Arial Narrow" w:hAnsi="Arial Narrow" w:cs="Arial"/>
                <w:b/>
                <w:bCs/>
                <w:sz w:val="16"/>
                <w:szCs w:val="16"/>
              </w:rPr>
              <w:t>Α. Χρέος Κεντρικής Διοίκησης</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326.358</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328.704</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358.949</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356.015</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369.100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374.500</w:t>
            </w:r>
          </w:p>
        </w:tc>
      </w:tr>
      <w:tr w:rsidR="00F459BB" w:rsidRPr="00251FFD" w:rsidTr="00CA1549">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459BB" w:rsidRPr="00251FFD" w:rsidRDefault="00F459BB" w:rsidP="00CA1549">
            <w:pPr>
              <w:rPr>
                <w:rFonts w:ascii="Arial Narrow" w:hAnsi="Arial Narrow" w:cs="Arial"/>
                <w:b/>
                <w:bCs/>
                <w:sz w:val="16"/>
                <w:szCs w:val="16"/>
              </w:rPr>
            </w:pPr>
            <w:r w:rsidRPr="00251FFD">
              <w:rPr>
                <w:rFonts w:ascii="Arial Narrow" w:hAnsi="Arial Narrow" w:cs="Arial"/>
                <w:b/>
                <w:bCs/>
                <w:sz w:val="16"/>
                <w:szCs w:val="16"/>
              </w:rPr>
              <w:t>(ως % του ΑΕΠ)</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184,9%</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182,4%</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194,3%</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189,9%</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216,2%</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202,2%</w:t>
            </w:r>
          </w:p>
        </w:tc>
      </w:tr>
      <w:tr w:rsidR="00F459BB" w:rsidRPr="00251FFD" w:rsidTr="00CA1549">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459BB" w:rsidRPr="00251FFD" w:rsidRDefault="00F459BB" w:rsidP="00CA1549">
            <w:pPr>
              <w:rPr>
                <w:rFonts w:ascii="Arial Narrow" w:hAnsi="Arial Narrow" w:cs="Arial"/>
                <w:sz w:val="16"/>
                <w:szCs w:val="16"/>
              </w:rPr>
            </w:pPr>
            <w:r w:rsidRPr="00251FFD">
              <w:rPr>
                <w:rFonts w:ascii="Arial Narrow" w:hAnsi="Arial Narrow" w:cs="Arial"/>
                <w:sz w:val="16"/>
                <w:szCs w:val="16"/>
              </w:rPr>
              <w:t>Β. Χρέος ΝΠΔΔ, κέρματα κ.λπ. μείον επενδύσεις σε τίτλους ΕΔ</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606</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-384</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-7.723</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-8.341</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-13.500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-13.500</w:t>
            </w:r>
          </w:p>
        </w:tc>
      </w:tr>
      <w:tr w:rsidR="00F459BB" w:rsidRPr="00251FFD" w:rsidTr="00CA1549">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459BB" w:rsidRPr="00251FFD" w:rsidRDefault="00F459BB" w:rsidP="00CA1549">
            <w:pPr>
              <w:rPr>
                <w:rFonts w:ascii="Arial Narrow" w:hAnsi="Arial Narrow" w:cs="Arial"/>
                <w:b/>
                <w:bCs/>
                <w:sz w:val="16"/>
                <w:szCs w:val="16"/>
              </w:rPr>
            </w:pPr>
            <w:r w:rsidRPr="00251FFD">
              <w:rPr>
                <w:rFonts w:ascii="Arial Narrow" w:hAnsi="Arial Narrow" w:cs="Arial"/>
                <w:b/>
                <w:bCs/>
                <w:sz w:val="16"/>
                <w:szCs w:val="16"/>
              </w:rPr>
              <w:t>Γ. Χρέος Κεντρικής Κυβέρνησης κατά ESA (A+B)</w:t>
            </w:r>
          </w:p>
        </w:tc>
        <w:tc>
          <w:tcPr>
            <w:tcW w:w="850" w:type="dxa"/>
            <w:tcBorders>
              <w:top w:val="nil"/>
              <w:left w:val="nil"/>
              <w:bottom w:val="nil"/>
              <w:right w:val="nil"/>
            </w:tcBorders>
            <w:shd w:val="clear" w:color="auto" w:fill="auto"/>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326.964</w:t>
            </w:r>
          </w:p>
        </w:tc>
        <w:tc>
          <w:tcPr>
            <w:tcW w:w="851" w:type="dxa"/>
            <w:tcBorders>
              <w:top w:val="nil"/>
              <w:left w:val="nil"/>
              <w:bottom w:val="nil"/>
              <w:right w:val="nil"/>
            </w:tcBorders>
            <w:shd w:val="clear" w:color="auto" w:fill="auto"/>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328.320</w:t>
            </w:r>
          </w:p>
        </w:tc>
        <w:tc>
          <w:tcPr>
            <w:tcW w:w="850" w:type="dxa"/>
            <w:tcBorders>
              <w:top w:val="nil"/>
              <w:left w:val="nil"/>
              <w:bottom w:val="nil"/>
              <w:right w:val="nil"/>
            </w:tcBorders>
            <w:shd w:val="clear" w:color="auto" w:fill="auto"/>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351.226</w:t>
            </w:r>
          </w:p>
        </w:tc>
        <w:tc>
          <w:tcPr>
            <w:tcW w:w="851" w:type="dxa"/>
            <w:tcBorders>
              <w:top w:val="nil"/>
              <w:left w:val="nil"/>
              <w:bottom w:val="nil"/>
              <w:right w:val="nil"/>
            </w:tcBorders>
            <w:shd w:val="clear" w:color="auto" w:fill="auto"/>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347.674</w:t>
            </w:r>
          </w:p>
        </w:tc>
        <w:tc>
          <w:tcPr>
            <w:tcW w:w="709" w:type="dxa"/>
            <w:tcBorders>
              <w:top w:val="nil"/>
              <w:left w:val="nil"/>
              <w:bottom w:val="nil"/>
              <w:right w:val="nil"/>
            </w:tcBorders>
            <w:shd w:val="clear" w:color="auto" w:fill="auto"/>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355.600</w:t>
            </w:r>
          </w:p>
        </w:tc>
        <w:tc>
          <w:tcPr>
            <w:tcW w:w="708" w:type="dxa"/>
            <w:tcBorders>
              <w:top w:val="nil"/>
              <w:left w:val="nil"/>
              <w:bottom w:val="nil"/>
              <w:right w:val="single" w:sz="4" w:space="0" w:color="auto"/>
            </w:tcBorders>
            <w:shd w:val="clear" w:color="auto" w:fill="auto"/>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361.000</w:t>
            </w:r>
          </w:p>
        </w:tc>
      </w:tr>
      <w:tr w:rsidR="00F459BB" w:rsidRPr="00251FFD" w:rsidTr="00CA1549">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459BB" w:rsidRPr="00251FFD" w:rsidRDefault="00F459BB" w:rsidP="00CA1549">
            <w:pPr>
              <w:rPr>
                <w:rFonts w:ascii="Arial Narrow" w:hAnsi="Arial Narrow" w:cs="Arial"/>
                <w:b/>
                <w:bCs/>
                <w:sz w:val="16"/>
                <w:szCs w:val="16"/>
              </w:rPr>
            </w:pPr>
            <w:r w:rsidRPr="00251FFD">
              <w:rPr>
                <w:rFonts w:ascii="Arial Narrow" w:hAnsi="Arial Narrow" w:cs="Arial"/>
                <w:b/>
                <w:bCs/>
                <w:sz w:val="16"/>
                <w:szCs w:val="16"/>
              </w:rPr>
              <w:t>(ως % του ΑΕΠ)</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185,3%</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182,2%</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190,1%</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185,5%</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208,3%</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194,9%</w:t>
            </w:r>
          </w:p>
        </w:tc>
      </w:tr>
      <w:tr w:rsidR="00F459BB" w:rsidRPr="00251FFD" w:rsidTr="00CA1549">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459BB" w:rsidRPr="00251FFD" w:rsidRDefault="00F459BB" w:rsidP="00CA1549">
            <w:pPr>
              <w:rPr>
                <w:rFonts w:ascii="Arial Narrow" w:hAnsi="Arial Narrow" w:cs="Arial"/>
                <w:sz w:val="16"/>
                <w:szCs w:val="16"/>
              </w:rPr>
            </w:pPr>
            <w:r w:rsidRPr="00251FFD">
              <w:rPr>
                <w:rFonts w:ascii="Arial Narrow" w:hAnsi="Arial Narrow" w:cs="Arial"/>
                <w:sz w:val="16"/>
                <w:szCs w:val="16"/>
              </w:rPr>
              <w:t>Δ. Χρέος ΟΤΑ, ΟΚΑ μείον ενδοκυβερνητικό χρέος</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-11.954</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-10.835</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-16.503</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-16.611</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-18.600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-19.000</w:t>
            </w:r>
          </w:p>
        </w:tc>
      </w:tr>
      <w:tr w:rsidR="00F459BB" w:rsidRPr="00251FFD" w:rsidTr="00CA1549">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459BB" w:rsidRPr="00251FFD" w:rsidRDefault="00F459BB" w:rsidP="00CA1549">
            <w:pPr>
              <w:rPr>
                <w:rFonts w:ascii="Arial Narrow" w:hAnsi="Arial Narrow" w:cs="Arial"/>
                <w:b/>
                <w:bCs/>
                <w:sz w:val="16"/>
                <w:szCs w:val="16"/>
              </w:rPr>
            </w:pPr>
            <w:r w:rsidRPr="00251FFD">
              <w:rPr>
                <w:rFonts w:ascii="Arial Narrow" w:hAnsi="Arial Narrow" w:cs="Arial"/>
                <w:b/>
                <w:bCs/>
                <w:sz w:val="16"/>
                <w:szCs w:val="16"/>
              </w:rPr>
              <w:t>Ε. Χρέος Γενικής Κυβέρνησης (Γ+Δ)</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315.010</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317.485</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334.723</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331.063</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337.000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342.000</w:t>
            </w:r>
          </w:p>
        </w:tc>
      </w:tr>
      <w:tr w:rsidR="00F459BB" w:rsidRPr="00251FFD" w:rsidTr="00CA1549">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459BB" w:rsidRPr="00251FFD" w:rsidRDefault="00F459BB" w:rsidP="00CA1549">
            <w:pPr>
              <w:rPr>
                <w:rFonts w:ascii="Arial Narrow" w:hAnsi="Arial Narrow" w:cs="Arial"/>
                <w:b/>
                <w:bCs/>
                <w:sz w:val="16"/>
                <w:szCs w:val="16"/>
              </w:rPr>
            </w:pPr>
            <w:r w:rsidRPr="00251FFD">
              <w:rPr>
                <w:rFonts w:ascii="Arial Narrow" w:hAnsi="Arial Narrow" w:cs="Arial"/>
                <w:b/>
                <w:bCs/>
                <w:sz w:val="16"/>
                <w:szCs w:val="16"/>
              </w:rPr>
              <w:t>(ως % του ΑΕΠ)</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178,5%</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176,2%</w:t>
            </w:r>
          </w:p>
        </w:tc>
        <w:tc>
          <w:tcPr>
            <w:tcW w:w="850"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181,2%</w:t>
            </w:r>
          </w:p>
        </w:tc>
        <w:tc>
          <w:tcPr>
            <w:tcW w:w="851"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176,6%</w:t>
            </w:r>
          </w:p>
        </w:tc>
        <w:tc>
          <w:tcPr>
            <w:tcW w:w="709" w:type="dxa"/>
            <w:tcBorders>
              <w:top w:val="nil"/>
              <w:left w:val="nil"/>
              <w:bottom w:val="nil"/>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197,4%</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b/>
                <w:bCs/>
                <w:sz w:val="16"/>
                <w:szCs w:val="16"/>
              </w:rPr>
            </w:pPr>
            <w:r>
              <w:rPr>
                <w:rFonts w:ascii="Arial Narrow" w:hAnsi="Arial Narrow" w:cs="Arial"/>
                <w:b/>
                <w:bCs/>
                <w:sz w:val="16"/>
                <w:szCs w:val="16"/>
              </w:rPr>
              <w:t>184,7%</w:t>
            </w:r>
          </w:p>
        </w:tc>
      </w:tr>
      <w:tr w:rsidR="00F459BB" w:rsidRPr="00251FFD" w:rsidTr="00CA1549">
        <w:trPr>
          <w:trHeight w:val="340"/>
        </w:trPr>
        <w:tc>
          <w:tcPr>
            <w:tcW w:w="4268" w:type="dxa"/>
            <w:tcBorders>
              <w:top w:val="nil"/>
              <w:left w:val="single" w:sz="4" w:space="0" w:color="auto"/>
              <w:bottom w:val="single" w:sz="4" w:space="0" w:color="auto"/>
              <w:right w:val="nil"/>
            </w:tcBorders>
            <w:shd w:val="clear" w:color="auto" w:fill="auto"/>
            <w:noWrap/>
            <w:tcMar>
              <w:left w:w="57" w:type="dxa"/>
              <w:right w:w="57" w:type="dxa"/>
            </w:tcMar>
            <w:vAlign w:val="bottom"/>
            <w:hideMark/>
          </w:tcPr>
          <w:p w:rsidR="00F459BB" w:rsidRPr="00251FFD" w:rsidRDefault="00F459BB" w:rsidP="00CA1549">
            <w:pPr>
              <w:rPr>
                <w:rFonts w:ascii="Arial Narrow" w:hAnsi="Arial Narrow" w:cs="Arial"/>
                <w:sz w:val="16"/>
                <w:szCs w:val="16"/>
              </w:rPr>
            </w:pPr>
            <w:r w:rsidRPr="00251FFD">
              <w:rPr>
                <w:rFonts w:ascii="Arial Narrow" w:hAnsi="Arial Narrow" w:cs="Arial"/>
                <w:sz w:val="16"/>
                <w:szCs w:val="16"/>
              </w:rPr>
              <w:t xml:space="preserve">ΑΕΠ </w:t>
            </w:r>
          </w:p>
        </w:tc>
        <w:tc>
          <w:tcPr>
            <w:tcW w:w="850" w:type="dxa"/>
            <w:tcBorders>
              <w:top w:val="nil"/>
              <w:left w:val="nil"/>
              <w:bottom w:val="single" w:sz="4" w:space="0" w:color="auto"/>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176.488</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180.218</w:t>
            </w:r>
          </w:p>
        </w:tc>
        <w:tc>
          <w:tcPr>
            <w:tcW w:w="850" w:type="dxa"/>
            <w:tcBorders>
              <w:top w:val="nil"/>
              <w:left w:val="nil"/>
              <w:bottom w:val="single" w:sz="4" w:space="0" w:color="auto"/>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184.714</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187.456</w:t>
            </w:r>
          </w:p>
        </w:tc>
        <w:tc>
          <w:tcPr>
            <w:tcW w:w="709" w:type="dxa"/>
            <w:tcBorders>
              <w:top w:val="nil"/>
              <w:left w:val="nil"/>
              <w:bottom w:val="single" w:sz="4" w:space="0" w:color="auto"/>
              <w:right w:val="nil"/>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170.721</w:t>
            </w:r>
          </w:p>
        </w:tc>
        <w:tc>
          <w:tcPr>
            <w:tcW w:w="70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rsidR="00F459BB" w:rsidRDefault="00F459BB" w:rsidP="00F459BB">
            <w:pPr>
              <w:ind w:right="113"/>
              <w:contextualSpacing/>
              <w:jc w:val="right"/>
              <w:rPr>
                <w:rFonts w:ascii="Arial Narrow" w:hAnsi="Arial Narrow" w:cs="Arial"/>
                <w:sz w:val="16"/>
                <w:szCs w:val="16"/>
              </w:rPr>
            </w:pPr>
            <w:r>
              <w:rPr>
                <w:rFonts w:ascii="Arial Narrow" w:hAnsi="Arial Narrow" w:cs="Arial"/>
                <w:sz w:val="16"/>
                <w:szCs w:val="16"/>
              </w:rPr>
              <w:t>185.215</w:t>
            </w:r>
          </w:p>
        </w:tc>
      </w:tr>
    </w:tbl>
    <w:p w:rsidR="003E7B61" w:rsidRPr="00251FFD" w:rsidRDefault="003E7B61" w:rsidP="003E7B61">
      <w:pPr>
        <w:tabs>
          <w:tab w:val="left" w:pos="360"/>
        </w:tabs>
        <w:spacing w:line="228" w:lineRule="auto"/>
        <w:ind w:left="360" w:right="249" w:hanging="360"/>
        <w:jc w:val="both"/>
        <w:rPr>
          <w:rFonts w:ascii="Arial Narrow" w:hAnsi="Arial Narrow"/>
          <w:sz w:val="18"/>
          <w:szCs w:val="16"/>
        </w:rPr>
      </w:pPr>
      <w:r w:rsidRPr="00251FFD">
        <w:rPr>
          <w:rFonts w:ascii="Arial Narrow" w:hAnsi="Arial Narrow"/>
          <w:sz w:val="18"/>
          <w:szCs w:val="16"/>
        </w:rPr>
        <w:t>*</w:t>
      </w:r>
      <w:r w:rsidRPr="00251FFD">
        <w:rPr>
          <w:rFonts w:ascii="Arial Narrow" w:hAnsi="Arial Narrow"/>
          <w:sz w:val="18"/>
          <w:szCs w:val="16"/>
        </w:rPr>
        <w:tab/>
        <w:t>Εκτιμήσεις</w:t>
      </w:r>
    </w:p>
    <w:p w:rsidR="003E7B61" w:rsidRPr="00251FFD" w:rsidRDefault="003E7B61" w:rsidP="003E7B61">
      <w:pPr>
        <w:tabs>
          <w:tab w:val="left" w:pos="360"/>
        </w:tabs>
        <w:spacing w:line="228" w:lineRule="auto"/>
        <w:ind w:right="249"/>
        <w:jc w:val="both"/>
        <w:rPr>
          <w:rFonts w:ascii="Arial Narrow" w:hAnsi="Arial Narrow"/>
          <w:sz w:val="18"/>
          <w:szCs w:val="16"/>
        </w:rPr>
      </w:pPr>
      <w:r w:rsidRPr="00251FFD">
        <w:rPr>
          <w:rFonts w:ascii="Arial Narrow" w:hAnsi="Arial Narrow"/>
          <w:sz w:val="18"/>
          <w:szCs w:val="16"/>
        </w:rPr>
        <w:t>**</w:t>
      </w:r>
      <w:r w:rsidRPr="00251FFD">
        <w:rPr>
          <w:rFonts w:ascii="Arial Narrow" w:hAnsi="Arial Narrow"/>
          <w:sz w:val="18"/>
          <w:szCs w:val="16"/>
        </w:rPr>
        <w:tab/>
        <w:t>Προβλέψεις</w:t>
      </w:r>
    </w:p>
    <w:p w:rsidR="003E7B61" w:rsidRPr="006B4781" w:rsidRDefault="003E7B61" w:rsidP="003E7B61">
      <w:pPr>
        <w:jc w:val="both"/>
        <w:rPr>
          <w:lang w:val="en-US"/>
        </w:rPr>
      </w:pPr>
    </w:p>
    <w:p w:rsidR="003E7B61" w:rsidRPr="006B4781" w:rsidRDefault="003E7B61" w:rsidP="003E7B61">
      <w:pPr>
        <w:keepNext/>
        <w:jc w:val="both"/>
        <w:outlineLvl w:val="3"/>
        <w:rPr>
          <w:rFonts w:ascii="Arial Narrow" w:hAnsi="Arial Narrow"/>
          <w:b/>
          <w:color w:val="000080"/>
          <w:szCs w:val="22"/>
        </w:rPr>
      </w:pPr>
      <w:r w:rsidRPr="006B4781">
        <w:rPr>
          <w:rFonts w:ascii="Arial Narrow" w:hAnsi="Arial Narrow"/>
          <w:b/>
          <w:color w:val="000080"/>
          <w:szCs w:val="22"/>
        </w:rPr>
        <w:t>Δομή και χαρακτηριστικά του χρέους της Κεντρικής Διοίκησης</w:t>
      </w:r>
    </w:p>
    <w:p w:rsidR="003E7B61" w:rsidRPr="006B4781" w:rsidRDefault="003E7B61" w:rsidP="003E7B61">
      <w:pPr>
        <w:jc w:val="both"/>
        <w:rPr>
          <w:sz w:val="22"/>
          <w:szCs w:val="22"/>
        </w:rPr>
      </w:pPr>
    </w:p>
    <w:p w:rsidR="006B4781" w:rsidRPr="00CC1986" w:rsidRDefault="006B4781" w:rsidP="006B4781">
      <w:pPr>
        <w:jc w:val="both"/>
        <w:rPr>
          <w:szCs w:val="22"/>
        </w:rPr>
      </w:pPr>
      <w:r>
        <w:rPr>
          <w:szCs w:val="22"/>
        </w:rPr>
        <w:t>Ο</w:t>
      </w:r>
      <w:r w:rsidRPr="000B5B81">
        <w:rPr>
          <w:szCs w:val="22"/>
        </w:rPr>
        <w:t xml:space="preserve"> χρονικός ορίζοντας των λήξεων του χρέους της Κεντρικής Διοίκησης, στις 31/8/20</w:t>
      </w:r>
      <w:r>
        <w:rPr>
          <w:szCs w:val="22"/>
        </w:rPr>
        <w:t>20</w:t>
      </w:r>
      <w:r w:rsidRPr="000B5B81">
        <w:rPr>
          <w:szCs w:val="22"/>
        </w:rPr>
        <w:t>, εκτείνεται μέχρι το έτος 2070. Η περαιτέρω δανειοδότηση του Ελληνικού Δημοσίου μέσω των αγορών τα επόμενα έτη αναμένεται να αντικαταστήσει σταδιακά τα δάνεια με ομόλογα (διάγραμμα 3.1).</w:t>
      </w:r>
      <w:r>
        <w:rPr>
          <w:szCs w:val="22"/>
        </w:rPr>
        <w:t xml:space="preserve"> </w:t>
      </w:r>
    </w:p>
    <w:p w:rsidR="003E7B61" w:rsidRPr="006B4781" w:rsidRDefault="003E7B61" w:rsidP="003E7B61">
      <w:pPr>
        <w:jc w:val="both"/>
        <w:rPr>
          <w:szCs w:val="22"/>
        </w:rPr>
      </w:pPr>
    </w:p>
    <w:tbl>
      <w:tblPr>
        <w:tblW w:w="0" w:type="auto"/>
        <w:tblLook w:val="04A0" w:firstRow="1" w:lastRow="0" w:firstColumn="1" w:lastColumn="0" w:noHBand="0" w:noVBand="1"/>
      </w:tblPr>
      <w:tblGrid>
        <w:gridCol w:w="9286"/>
      </w:tblGrid>
      <w:tr w:rsidR="003E7B61" w:rsidRPr="006B4781" w:rsidTr="007D5EBD">
        <w:tc>
          <w:tcPr>
            <w:tcW w:w="9286" w:type="dxa"/>
          </w:tcPr>
          <w:p w:rsidR="003E7B61" w:rsidRPr="007D5EBD" w:rsidRDefault="003E7B61" w:rsidP="007D5EBD">
            <w:pPr>
              <w:jc w:val="center"/>
              <w:rPr>
                <w:rFonts w:ascii="Arial Narrow" w:hAnsi="Arial Narrow"/>
                <w:b/>
              </w:rPr>
            </w:pPr>
            <w:r w:rsidRPr="007D5EBD">
              <w:rPr>
                <w:rFonts w:ascii="Arial Narrow" w:hAnsi="Arial Narrow"/>
                <w:b/>
              </w:rPr>
              <w:t>Διάγραμμα 3.1 Χρονοδιάγραμμα λήξης χρέους της Κε</w:t>
            </w:r>
            <w:r w:rsidR="006B4781" w:rsidRPr="007D5EBD">
              <w:rPr>
                <w:rFonts w:ascii="Arial Narrow" w:hAnsi="Arial Narrow"/>
                <w:b/>
              </w:rPr>
              <w:t>ντρικής Διοίκησης την 31/08/2020</w:t>
            </w:r>
          </w:p>
          <w:p w:rsidR="003E7B61" w:rsidRPr="007D5EBD" w:rsidRDefault="003E7B61" w:rsidP="007D5EBD">
            <w:pPr>
              <w:jc w:val="center"/>
              <w:rPr>
                <w:rFonts w:ascii="Arial Narrow" w:hAnsi="Arial Narrow"/>
                <w:b/>
              </w:rPr>
            </w:pPr>
            <w:r w:rsidRPr="007D5EBD">
              <w:rPr>
                <w:rFonts w:ascii="Arial Narrow" w:hAnsi="Arial Narrow"/>
                <w:b/>
              </w:rPr>
              <w:t>(σε εκατ. ευρώ)</w:t>
            </w:r>
          </w:p>
        </w:tc>
      </w:tr>
      <w:tr w:rsidR="003E7B61" w:rsidRPr="006B4781" w:rsidTr="007D5EBD">
        <w:tc>
          <w:tcPr>
            <w:tcW w:w="9286" w:type="dxa"/>
          </w:tcPr>
          <w:p w:rsidR="003E7B61" w:rsidRPr="007D5EBD" w:rsidRDefault="007D5EBD" w:rsidP="007D5EBD">
            <w:pPr>
              <w:jc w:val="center"/>
              <w:rPr>
                <w:szCs w:val="22"/>
              </w:rPr>
            </w:pPr>
            <w:r w:rsidRPr="007D5EBD">
              <w:rPr>
                <w:noProof/>
                <w:szCs w:val="22"/>
              </w:rPr>
              <w:object w:dxaOrig="8391" w:dyaOrig="3379">
                <v:shape id="Γράφημα 2" o:spid="_x0000_i1029" type="#_x0000_t75" style="width:6in;height:192pt;visibility:visible" o:ole="">
                  <v:imagedata r:id="rId21" o:title="" croptop="-5780f" cropbottom="-3161f" cropleft="-523f" cropright="-1421f"/>
                  <o:lock v:ext="edit" aspectratio="f"/>
                </v:shape>
                <o:OLEObject Type="Embed" ProgID="Excel.Sheet.8" ShapeID="Γράφημα 2" DrawAspect="Content" ObjectID="_1663405444" r:id="rId22">
                  <o:FieldCodes>\s</o:FieldCodes>
                </o:OLEObject>
              </w:object>
            </w:r>
          </w:p>
        </w:tc>
      </w:tr>
    </w:tbl>
    <w:p w:rsidR="003E7B61" w:rsidRPr="006B4781" w:rsidRDefault="003E7B61" w:rsidP="003E7B61">
      <w:pPr>
        <w:jc w:val="both"/>
        <w:rPr>
          <w:lang w:val="en-US"/>
        </w:rPr>
      </w:pPr>
    </w:p>
    <w:p w:rsidR="003E7B61" w:rsidRPr="006B4781" w:rsidRDefault="003E7B61" w:rsidP="003E7B61">
      <w:pPr>
        <w:jc w:val="both"/>
        <w:rPr>
          <w:lang w:val="en-US"/>
        </w:rPr>
      </w:pPr>
    </w:p>
    <w:p w:rsidR="003E7B61" w:rsidRPr="006B4781" w:rsidRDefault="003E7B61" w:rsidP="003E7B61">
      <w:pPr>
        <w:shd w:val="clear" w:color="auto" w:fill="BFBFBF"/>
        <w:tabs>
          <w:tab w:val="left" w:pos="540"/>
        </w:tabs>
        <w:ind w:left="540" w:hanging="540"/>
        <w:jc w:val="both"/>
        <w:rPr>
          <w:rFonts w:ascii="Arial Narrow" w:hAnsi="Arial Narrow"/>
          <w:b/>
          <w:sz w:val="26"/>
          <w:szCs w:val="22"/>
        </w:rPr>
      </w:pPr>
      <w:r w:rsidRPr="006B4781">
        <w:rPr>
          <w:rFonts w:ascii="Arial Narrow" w:hAnsi="Arial Narrow"/>
          <w:b/>
          <w:sz w:val="26"/>
          <w:szCs w:val="22"/>
        </w:rPr>
        <w:t>2.</w:t>
      </w:r>
      <w:r w:rsidRPr="006B4781">
        <w:rPr>
          <w:rFonts w:ascii="Arial Narrow" w:hAnsi="Arial Narrow"/>
          <w:b/>
          <w:sz w:val="26"/>
          <w:szCs w:val="22"/>
        </w:rPr>
        <w:tab/>
        <w:t>Δαπάνες εξυπηρέτησης χρέους</w:t>
      </w:r>
    </w:p>
    <w:p w:rsidR="0074392C" w:rsidRPr="00F5330F" w:rsidRDefault="0074392C" w:rsidP="0074392C">
      <w:pPr>
        <w:jc w:val="both"/>
        <w:rPr>
          <w:b/>
          <w:bCs/>
          <w:sz w:val="22"/>
          <w:szCs w:val="22"/>
        </w:rPr>
      </w:pPr>
    </w:p>
    <w:p w:rsidR="0074392C" w:rsidRDefault="0074392C" w:rsidP="0074392C">
      <w:pPr>
        <w:jc w:val="both"/>
      </w:pPr>
      <w:r w:rsidRPr="001D5FD0">
        <w:t>Όπως φαίνεται στον πίνακα, οι δαπάνες για τόκους του χρέους της Κεντρικής Διοίκησης διαμορφώνονται κοντά στα επίπεδα των 5.500-6.</w:t>
      </w:r>
      <w:r>
        <w:t>3</w:t>
      </w:r>
      <w:r w:rsidRPr="001D5FD0">
        <w:t>00 εκατ. ευρώ, ενώ το ύψος των δαπανών για τόκους διαμορφώνεται γύρω στο 3%-3,</w:t>
      </w:r>
      <w:r>
        <w:t>7</w:t>
      </w:r>
      <w:r w:rsidRPr="001D5FD0">
        <w:t>% ως ποσοστό του ΑΕΠ (πίνακας 3.2). Οι μειωμένες δαπάνες τόκων</w:t>
      </w:r>
      <w:r w:rsidRPr="008A1111">
        <w:t xml:space="preserve"> </w:t>
      </w:r>
      <w:r>
        <w:t>τα τελευταία χρόνια</w:t>
      </w:r>
      <w:r w:rsidRPr="001D5FD0">
        <w:t xml:space="preserve"> οφείλονται στη μείωση του ύψους του δημόσιου χρέους μετά την ανταλλαγή των ομολόγων (</w:t>
      </w:r>
      <w:r w:rsidRPr="001D5FD0">
        <w:rPr>
          <w:lang w:val="en-US"/>
        </w:rPr>
        <w:t>PSI</w:t>
      </w:r>
      <w:r w:rsidRPr="001D5FD0">
        <w:t>) του Μαρτίου 2012 και την επαναγορά του Δεκεμβρίου 2012, τη μείωση των επιτοκίων των δανείων του μηχανισμού στήριξης και την αναβολή καταβολής τόκων για τα δάνεια που χορηγήθηκαν από το Ευρωπαϊκό Ταμείο Χρηματοπιστωτικής Σταθερότητας</w:t>
      </w:r>
      <w:r>
        <w:t>, καθώς επίσης και στην πτώση των επιτοκίων του ευρώ</w:t>
      </w:r>
      <w:r w:rsidRPr="001D5FD0">
        <w:t>.</w:t>
      </w:r>
    </w:p>
    <w:p w:rsidR="0074392C" w:rsidRDefault="0074392C" w:rsidP="0074392C">
      <w:pPr>
        <w:jc w:val="both"/>
      </w:pPr>
    </w:p>
    <w:p w:rsidR="0074392C" w:rsidRPr="0074392C" w:rsidRDefault="0074392C" w:rsidP="0074392C">
      <w:pPr>
        <w:jc w:val="both"/>
      </w:pPr>
    </w:p>
    <w:tbl>
      <w:tblPr>
        <w:tblW w:w="8115" w:type="dxa"/>
        <w:jc w:val="center"/>
        <w:tblCellMar>
          <w:left w:w="0" w:type="dxa"/>
          <w:right w:w="0" w:type="dxa"/>
        </w:tblCellMar>
        <w:tblLook w:val="0000" w:firstRow="0" w:lastRow="0" w:firstColumn="0" w:lastColumn="0" w:noHBand="0" w:noVBand="0"/>
      </w:tblPr>
      <w:tblGrid>
        <w:gridCol w:w="2040"/>
        <w:gridCol w:w="1080"/>
        <w:gridCol w:w="1080"/>
        <w:gridCol w:w="1031"/>
        <w:gridCol w:w="900"/>
        <w:gridCol w:w="854"/>
        <w:gridCol w:w="1130"/>
      </w:tblGrid>
      <w:tr w:rsidR="003E7B61" w:rsidRPr="0074392C" w:rsidTr="00CA1549">
        <w:trPr>
          <w:jc w:val="center"/>
        </w:trPr>
        <w:tc>
          <w:tcPr>
            <w:tcW w:w="8115"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7B61" w:rsidRPr="0074392C" w:rsidRDefault="003E7B61" w:rsidP="00CA1549">
            <w:pPr>
              <w:spacing w:before="120"/>
              <w:jc w:val="center"/>
              <w:rPr>
                <w:rFonts w:ascii="Arial Narrow" w:hAnsi="Arial Narrow"/>
                <w:b/>
                <w:bCs/>
              </w:rPr>
            </w:pPr>
            <w:r w:rsidRPr="0074392C">
              <w:rPr>
                <w:rFonts w:ascii="Arial Narrow" w:hAnsi="Arial Narrow"/>
                <w:b/>
                <w:bCs/>
              </w:rPr>
              <w:t>Πίνακας 3.2 Ύψος δαπανών για τόκους χρέους Κεντρικής Διοίκησης</w:t>
            </w:r>
          </w:p>
          <w:p w:rsidR="003E7B61" w:rsidRPr="0074392C" w:rsidRDefault="003E7B61" w:rsidP="00CA1549">
            <w:pPr>
              <w:spacing w:after="120"/>
              <w:jc w:val="center"/>
              <w:rPr>
                <w:rFonts w:ascii="Arial Narrow" w:hAnsi="Arial Narrow"/>
                <w:b/>
                <w:bCs/>
              </w:rPr>
            </w:pPr>
            <w:r w:rsidRPr="0074392C">
              <w:rPr>
                <w:rFonts w:ascii="Arial Narrow" w:hAnsi="Arial Narrow"/>
                <w:b/>
                <w:bCs/>
              </w:rPr>
              <w:t xml:space="preserve"> (σε εκατ. ευρώ)</w:t>
            </w:r>
          </w:p>
        </w:tc>
      </w:tr>
      <w:tr w:rsidR="003E7B61" w:rsidRPr="0074392C" w:rsidTr="00CA1549">
        <w:trPr>
          <w:jc w:val="center"/>
        </w:trPr>
        <w:tc>
          <w:tcPr>
            <w:tcW w:w="20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7B61" w:rsidRPr="0074392C" w:rsidRDefault="003E7B61" w:rsidP="00CA1549">
            <w:pPr>
              <w:spacing w:before="120" w:after="120"/>
              <w:jc w:val="center"/>
              <w:rPr>
                <w:rFonts w:ascii="Arial Narrow" w:hAnsi="Arial Narrow"/>
                <w:b/>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7B61" w:rsidRPr="0074392C" w:rsidRDefault="003E7B61" w:rsidP="00CA1549">
            <w:pPr>
              <w:spacing w:before="120" w:after="120"/>
              <w:jc w:val="center"/>
              <w:rPr>
                <w:rFonts w:ascii="Arial Narrow" w:hAnsi="Arial Narrow"/>
                <w:b/>
                <w:bCs/>
                <w:sz w:val="16"/>
              </w:rPr>
            </w:pPr>
            <w:r w:rsidRPr="0074392C">
              <w:rPr>
                <w:rFonts w:ascii="Arial Narrow" w:hAnsi="Arial Narrow"/>
                <w:b/>
                <w:bCs/>
                <w:sz w:val="16"/>
              </w:rPr>
              <w:t>201</w:t>
            </w:r>
            <w:r w:rsidR="0074392C">
              <w:rPr>
                <w:rFonts w:ascii="Arial Narrow" w:hAnsi="Arial Narrow"/>
                <w:b/>
                <w:bCs/>
                <w:sz w:val="16"/>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7B61" w:rsidRPr="0074392C" w:rsidRDefault="003E7B61" w:rsidP="00CA1549">
            <w:pPr>
              <w:spacing w:before="120" w:after="120"/>
              <w:jc w:val="center"/>
              <w:rPr>
                <w:rFonts w:ascii="Arial Narrow" w:hAnsi="Arial Narrow"/>
                <w:b/>
                <w:bCs/>
                <w:sz w:val="16"/>
              </w:rPr>
            </w:pPr>
            <w:r w:rsidRPr="0074392C">
              <w:rPr>
                <w:rFonts w:ascii="Arial Narrow" w:hAnsi="Arial Narrow"/>
                <w:b/>
                <w:bCs/>
                <w:sz w:val="16"/>
              </w:rPr>
              <w:t>201</w:t>
            </w:r>
            <w:r w:rsidR="0074392C">
              <w:rPr>
                <w:rFonts w:ascii="Arial Narrow" w:hAnsi="Arial Narrow"/>
                <w:b/>
                <w:bCs/>
                <w:sz w:val="16"/>
              </w:rPr>
              <w:t>7</w:t>
            </w:r>
          </w:p>
        </w:tc>
        <w:tc>
          <w:tcPr>
            <w:tcW w:w="10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7B61" w:rsidRPr="0074392C" w:rsidRDefault="003E7B61" w:rsidP="00CA1549">
            <w:pPr>
              <w:spacing w:before="120" w:after="120"/>
              <w:jc w:val="center"/>
              <w:rPr>
                <w:rFonts w:ascii="Arial Narrow" w:hAnsi="Arial Narrow"/>
                <w:b/>
                <w:bCs/>
                <w:sz w:val="16"/>
              </w:rPr>
            </w:pPr>
            <w:r w:rsidRPr="0074392C">
              <w:rPr>
                <w:rFonts w:ascii="Arial Narrow" w:hAnsi="Arial Narrow"/>
                <w:b/>
                <w:bCs/>
                <w:sz w:val="16"/>
              </w:rPr>
              <w:t>201</w:t>
            </w:r>
            <w:r w:rsidR="0074392C">
              <w:rPr>
                <w:rFonts w:ascii="Arial Narrow" w:hAnsi="Arial Narrow"/>
                <w:b/>
                <w:bCs/>
                <w:sz w:val="16"/>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3E7B61" w:rsidRPr="0074392C" w:rsidRDefault="003E7B61" w:rsidP="00CA1549">
            <w:pPr>
              <w:spacing w:before="120" w:after="120"/>
              <w:jc w:val="center"/>
              <w:rPr>
                <w:rFonts w:ascii="Arial Narrow" w:hAnsi="Arial Narrow"/>
                <w:b/>
                <w:bCs/>
                <w:sz w:val="16"/>
              </w:rPr>
            </w:pPr>
            <w:r w:rsidRPr="0074392C">
              <w:rPr>
                <w:rFonts w:ascii="Arial Narrow" w:hAnsi="Arial Narrow"/>
                <w:b/>
                <w:bCs/>
                <w:sz w:val="16"/>
              </w:rPr>
              <w:t>201</w:t>
            </w:r>
            <w:r w:rsidR="0074392C">
              <w:rPr>
                <w:rFonts w:ascii="Arial Narrow" w:hAnsi="Arial Narrow"/>
                <w:b/>
                <w:bCs/>
                <w:sz w:val="16"/>
              </w:rPr>
              <w:t>9</w:t>
            </w:r>
          </w:p>
        </w:tc>
        <w:tc>
          <w:tcPr>
            <w:tcW w:w="854" w:type="dxa"/>
            <w:tcBorders>
              <w:top w:val="single" w:sz="4" w:space="0" w:color="auto"/>
              <w:left w:val="single" w:sz="4" w:space="0" w:color="auto"/>
              <w:bottom w:val="single" w:sz="4" w:space="0" w:color="auto"/>
              <w:right w:val="single" w:sz="4" w:space="0" w:color="auto"/>
            </w:tcBorders>
            <w:vAlign w:val="bottom"/>
          </w:tcPr>
          <w:p w:rsidR="003E7B61" w:rsidRPr="0074392C" w:rsidRDefault="0074392C" w:rsidP="00CA1549">
            <w:pPr>
              <w:spacing w:before="120" w:after="120"/>
              <w:jc w:val="center"/>
              <w:rPr>
                <w:rFonts w:ascii="Arial Narrow" w:hAnsi="Arial Narrow"/>
                <w:b/>
                <w:bCs/>
                <w:sz w:val="16"/>
              </w:rPr>
            </w:pPr>
            <w:r>
              <w:rPr>
                <w:rFonts w:ascii="Arial Narrow" w:hAnsi="Arial Narrow"/>
                <w:b/>
                <w:bCs/>
                <w:sz w:val="16"/>
              </w:rPr>
              <w:t>2020</w:t>
            </w:r>
            <w:r w:rsidR="003E7B61" w:rsidRPr="0074392C">
              <w:rPr>
                <w:rFonts w:ascii="Arial Narrow" w:hAnsi="Arial Narrow"/>
                <w:b/>
                <w:bCs/>
                <w:sz w:val="16"/>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7B61" w:rsidRPr="0074392C" w:rsidRDefault="0074392C" w:rsidP="00CA1549">
            <w:pPr>
              <w:spacing w:before="120" w:after="120"/>
              <w:jc w:val="center"/>
              <w:rPr>
                <w:rFonts w:ascii="Arial Narrow" w:hAnsi="Arial Narrow"/>
                <w:b/>
                <w:bCs/>
                <w:sz w:val="16"/>
              </w:rPr>
            </w:pPr>
            <w:r>
              <w:rPr>
                <w:rFonts w:ascii="Arial Narrow" w:hAnsi="Arial Narrow"/>
                <w:b/>
                <w:bCs/>
                <w:sz w:val="16"/>
              </w:rPr>
              <w:t>2021</w:t>
            </w:r>
            <w:r w:rsidR="003E7B61" w:rsidRPr="0074392C">
              <w:rPr>
                <w:rFonts w:ascii="Arial Narrow" w:hAnsi="Arial Narrow"/>
                <w:b/>
                <w:bCs/>
                <w:sz w:val="16"/>
              </w:rPr>
              <w:t>**</w:t>
            </w:r>
          </w:p>
        </w:tc>
      </w:tr>
      <w:tr w:rsidR="004B5052" w:rsidRPr="0074392C" w:rsidTr="00CA1549">
        <w:trPr>
          <w:jc w:val="center"/>
        </w:trPr>
        <w:tc>
          <w:tcPr>
            <w:tcW w:w="0" w:type="auto"/>
            <w:tcBorders>
              <w:top w:val="single" w:sz="4" w:space="0" w:color="auto"/>
              <w:left w:val="single" w:sz="4" w:space="0" w:color="auto"/>
            </w:tcBorders>
            <w:shd w:val="clear" w:color="auto" w:fill="auto"/>
            <w:noWrap/>
            <w:tcMar>
              <w:top w:w="15" w:type="dxa"/>
              <w:left w:w="15" w:type="dxa"/>
              <w:bottom w:w="0" w:type="dxa"/>
              <w:right w:w="15" w:type="dxa"/>
            </w:tcMar>
            <w:vAlign w:val="center"/>
          </w:tcPr>
          <w:p w:rsidR="004B5052" w:rsidRPr="0074392C" w:rsidRDefault="004B5052" w:rsidP="00CA1549">
            <w:pPr>
              <w:spacing w:before="120" w:after="120"/>
              <w:rPr>
                <w:rFonts w:ascii="Arial Narrow" w:hAnsi="Arial Narrow"/>
                <w:bCs/>
                <w:sz w:val="16"/>
                <w:lang w:val="en-GB"/>
              </w:rPr>
            </w:pPr>
            <w:r w:rsidRPr="0074392C">
              <w:rPr>
                <w:rFonts w:ascii="Arial Narrow" w:hAnsi="Arial Narrow"/>
                <w:bCs/>
                <w:sz w:val="16"/>
              </w:rPr>
              <w:t xml:space="preserve"> Τόκοι προ </w:t>
            </w:r>
            <w:r w:rsidRPr="0074392C">
              <w:rPr>
                <w:rFonts w:ascii="Arial Narrow" w:hAnsi="Arial Narrow"/>
                <w:bCs/>
                <w:sz w:val="16"/>
                <w:lang w:val="en-GB"/>
              </w:rPr>
              <w:t>SWAP</w:t>
            </w:r>
          </w:p>
        </w:tc>
        <w:tc>
          <w:tcPr>
            <w:tcW w:w="0" w:type="auto"/>
            <w:tcBorders>
              <w:top w:val="single" w:sz="4" w:space="0" w:color="auto"/>
            </w:tcBorders>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rPr>
            </w:pPr>
            <w:r w:rsidRPr="0074392C">
              <w:rPr>
                <w:rFonts w:ascii="Arial Narrow" w:hAnsi="Arial Narrow" w:cs="Arial"/>
                <w:sz w:val="16"/>
                <w:szCs w:val="16"/>
              </w:rPr>
              <w:t>5.077</w:t>
            </w:r>
          </w:p>
        </w:tc>
        <w:tc>
          <w:tcPr>
            <w:tcW w:w="0" w:type="auto"/>
            <w:tcBorders>
              <w:top w:val="single" w:sz="4" w:space="0" w:color="auto"/>
            </w:tcBorders>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rPr>
            </w:pPr>
            <w:r w:rsidRPr="0074392C">
              <w:rPr>
                <w:rFonts w:ascii="Arial Narrow" w:hAnsi="Arial Narrow" w:cs="Arial"/>
                <w:sz w:val="16"/>
                <w:szCs w:val="16"/>
              </w:rPr>
              <w:t>5.693</w:t>
            </w:r>
          </w:p>
        </w:tc>
        <w:tc>
          <w:tcPr>
            <w:tcW w:w="1031" w:type="dxa"/>
            <w:tcBorders>
              <w:top w:val="single" w:sz="4" w:space="0" w:color="auto"/>
            </w:tcBorders>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lang w:val="en-US"/>
              </w:rPr>
            </w:pPr>
            <w:r w:rsidRPr="0074392C">
              <w:rPr>
                <w:rFonts w:ascii="Arial Narrow" w:hAnsi="Arial Narrow" w:cs="Arial"/>
                <w:sz w:val="16"/>
                <w:szCs w:val="16"/>
              </w:rPr>
              <w:t>4.</w:t>
            </w:r>
            <w:r w:rsidRPr="0074392C">
              <w:rPr>
                <w:rFonts w:ascii="Arial Narrow" w:hAnsi="Arial Narrow" w:cs="Arial"/>
                <w:sz w:val="16"/>
                <w:szCs w:val="16"/>
                <w:lang w:val="en-US"/>
              </w:rPr>
              <w:t>671</w:t>
            </w:r>
          </w:p>
        </w:tc>
        <w:tc>
          <w:tcPr>
            <w:tcW w:w="900" w:type="dxa"/>
            <w:tcBorders>
              <w:top w:val="single" w:sz="4" w:space="0" w:color="auto"/>
            </w:tcBorders>
            <w:shd w:val="clear" w:color="auto" w:fill="auto"/>
            <w:vAlign w:val="center"/>
          </w:tcPr>
          <w:p w:rsidR="004B5052" w:rsidRPr="0074392C" w:rsidRDefault="004B5052" w:rsidP="00264501">
            <w:pPr>
              <w:jc w:val="center"/>
              <w:rPr>
                <w:rFonts w:ascii="Arial Narrow" w:hAnsi="Arial Narrow" w:cs="Arial"/>
                <w:sz w:val="16"/>
                <w:szCs w:val="16"/>
              </w:rPr>
            </w:pPr>
            <w:r>
              <w:rPr>
                <w:rFonts w:ascii="Arial Narrow" w:hAnsi="Arial Narrow" w:cs="Arial"/>
                <w:sz w:val="16"/>
                <w:szCs w:val="16"/>
              </w:rPr>
              <w:t>5.185</w:t>
            </w:r>
          </w:p>
        </w:tc>
        <w:tc>
          <w:tcPr>
            <w:tcW w:w="854" w:type="dxa"/>
            <w:tcBorders>
              <w:top w:val="single" w:sz="4" w:space="0" w:color="auto"/>
            </w:tcBorders>
            <w:vAlign w:val="center"/>
          </w:tcPr>
          <w:p w:rsidR="004B5052" w:rsidRPr="0074392C" w:rsidRDefault="00B34BC2" w:rsidP="00264501">
            <w:pPr>
              <w:jc w:val="center"/>
              <w:rPr>
                <w:rFonts w:ascii="Arial Narrow" w:hAnsi="Arial Narrow" w:cs="Arial"/>
                <w:sz w:val="16"/>
                <w:szCs w:val="16"/>
              </w:rPr>
            </w:pPr>
            <w:r>
              <w:rPr>
                <w:rFonts w:ascii="Arial Narrow" w:hAnsi="Arial Narrow" w:cs="Arial"/>
                <w:sz w:val="16"/>
                <w:szCs w:val="16"/>
              </w:rPr>
              <w:t>4.630</w:t>
            </w:r>
          </w:p>
        </w:tc>
        <w:tc>
          <w:tcPr>
            <w:tcW w:w="1130" w:type="dxa"/>
            <w:tcBorders>
              <w:top w:val="single" w:sz="4" w:space="0" w:color="auto"/>
              <w:right w:val="single" w:sz="4" w:space="0" w:color="auto"/>
            </w:tcBorders>
            <w:shd w:val="clear" w:color="auto" w:fill="auto"/>
            <w:noWrap/>
            <w:tcMar>
              <w:top w:w="15" w:type="dxa"/>
              <w:left w:w="15" w:type="dxa"/>
              <w:bottom w:w="0" w:type="dxa"/>
              <w:right w:w="15" w:type="dxa"/>
            </w:tcMar>
            <w:vAlign w:val="center"/>
          </w:tcPr>
          <w:p w:rsidR="004B5052" w:rsidRPr="0074392C" w:rsidRDefault="00B34BC2" w:rsidP="00CA1549">
            <w:pPr>
              <w:jc w:val="center"/>
              <w:rPr>
                <w:rFonts w:ascii="Arial Narrow" w:hAnsi="Arial Narrow" w:cs="Arial"/>
                <w:sz w:val="16"/>
                <w:szCs w:val="16"/>
              </w:rPr>
            </w:pPr>
            <w:r>
              <w:rPr>
                <w:rFonts w:ascii="Arial Narrow" w:hAnsi="Arial Narrow" w:cs="Arial"/>
                <w:sz w:val="16"/>
                <w:szCs w:val="16"/>
              </w:rPr>
              <w:t>4.470</w:t>
            </w:r>
          </w:p>
        </w:tc>
      </w:tr>
      <w:tr w:rsidR="004B5052" w:rsidRPr="0074392C" w:rsidTr="00CA1549">
        <w:trPr>
          <w:jc w:val="center"/>
        </w:trPr>
        <w:tc>
          <w:tcPr>
            <w:tcW w:w="0" w:type="auto"/>
            <w:tcBorders>
              <w:left w:val="single" w:sz="4" w:space="0" w:color="auto"/>
            </w:tcBorders>
            <w:shd w:val="clear" w:color="auto" w:fill="auto"/>
            <w:noWrap/>
            <w:tcMar>
              <w:top w:w="15" w:type="dxa"/>
              <w:left w:w="15" w:type="dxa"/>
              <w:bottom w:w="0" w:type="dxa"/>
              <w:right w:w="15" w:type="dxa"/>
            </w:tcMar>
            <w:vAlign w:val="center"/>
          </w:tcPr>
          <w:p w:rsidR="004B5052" w:rsidRPr="0074392C" w:rsidRDefault="004B5052" w:rsidP="00CA1549">
            <w:pPr>
              <w:spacing w:before="120" w:after="120"/>
              <w:rPr>
                <w:rFonts w:ascii="Arial Narrow" w:hAnsi="Arial Narrow"/>
                <w:bCs/>
                <w:sz w:val="16"/>
                <w:lang w:val="en-GB"/>
              </w:rPr>
            </w:pPr>
            <w:r w:rsidRPr="0074392C">
              <w:rPr>
                <w:rFonts w:ascii="Arial Narrow" w:hAnsi="Arial Narrow"/>
                <w:bCs/>
                <w:sz w:val="16"/>
              </w:rPr>
              <w:t xml:space="preserve">Τόκοι μετά </w:t>
            </w:r>
            <w:r w:rsidRPr="0074392C">
              <w:rPr>
                <w:rFonts w:ascii="Arial Narrow" w:hAnsi="Arial Narrow"/>
                <w:bCs/>
                <w:sz w:val="16"/>
                <w:lang w:val="en-GB"/>
              </w:rPr>
              <w:t>SWAP</w:t>
            </w:r>
          </w:p>
        </w:tc>
        <w:tc>
          <w:tcPr>
            <w:tcW w:w="0" w:type="auto"/>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rPr>
            </w:pPr>
            <w:r w:rsidRPr="0074392C">
              <w:rPr>
                <w:rFonts w:ascii="Arial Narrow" w:hAnsi="Arial Narrow" w:cs="Arial"/>
                <w:sz w:val="16"/>
                <w:szCs w:val="16"/>
              </w:rPr>
              <w:t>5.588</w:t>
            </w:r>
          </w:p>
        </w:tc>
        <w:tc>
          <w:tcPr>
            <w:tcW w:w="0" w:type="auto"/>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rPr>
            </w:pPr>
            <w:r w:rsidRPr="0074392C">
              <w:rPr>
                <w:rFonts w:ascii="Arial Narrow" w:hAnsi="Arial Narrow" w:cs="Arial"/>
                <w:sz w:val="16"/>
                <w:szCs w:val="16"/>
              </w:rPr>
              <w:t>6.208</w:t>
            </w:r>
          </w:p>
        </w:tc>
        <w:tc>
          <w:tcPr>
            <w:tcW w:w="1031" w:type="dxa"/>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lang w:val="en-US"/>
              </w:rPr>
            </w:pPr>
            <w:r w:rsidRPr="0074392C">
              <w:rPr>
                <w:rFonts w:ascii="Arial Narrow" w:hAnsi="Arial Narrow" w:cs="Arial"/>
                <w:sz w:val="16"/>
                <w:szCs w:val="16"/>
              </w:rPr>
              <w:t>5.5</w:t>
            </w:r>
            <w:r w:rsidRPr="0074392C">
              <w:rPr>
                <w:rFonts w:ascii="Arial Narrow" w:hAnsi="Arial Narrow" w:cs="Arial"/>
                <w:sz w:val="16"/>
                <w:szCs w:val="16"/>
                <w:lang w:val="en-US"/>
              </w:rPr>
              <w:t>54</w:t>
            </w:r>
          </w:p>
        </w:tc>
        <w:tc>
          <w:tcPr>
            <w:tcW w:w="900" w:type="dxa"/>
            <w:shd w:val="clear" w:color="auto" w:fill="auto"/>
            <w:vAlign w:val="center"/>
          </w:tcPr>
          <w:p w:rsidR="004B5052" w:rsidRPr="0074392C" w:rsidRDefault="004B5052" w:rsidP="00264501">
            <w:pPr>
              <w:jc w:val="center"/>
              <w:rPr>
                <w:rFonts w:ascii="Arial Narrow" w:hAnsi="Arial Narrow" w:cs="Arial"/>
                <w:sz w:val="16"/>
                <w:szCs w:val="16"/>
              </w:rPr>
            </w:pPr>
            <w:r>
              <w:rPr>
                <w:rFonts w:ascii="Arial Narrow" w:hAnsi="Arial Narrow" w:cs="Arial"/>
                <w:sz w:val="16"/>
                <w:szCs w:val="16"/>
              </w:rPr>
              <w:t>6.001</w:t>
            </w:r>
          </w:p>
        </w:tc>
        <w:tc>
          <w:tcPr>
            <w:tcW w:w="854" w:type="dxa"/>
            <w:vAlign w:val="center"/>
          </w:tcPr>
          <w:p w:rsidR="004B5052" w:rsidRPr="0074392C" w:rsidRDefault="00B34BC2" w:rsidP="00264501">
            <w:pPr>
              <w:jc w:val="center"/>
              <w:rPr>
                <w:rFonts w:ascii="Arial Narrow" w:hAnsi="Arial Narrow" w:cs="Arial"/>
                <w:sz w:val="16"/>
                <w:szCs w:val="16"/>
              </w:rPr>
            </w:pPr>
            <w:r>
              <w:rPr>
                <w:rFonts w:ascii="Arial Narrow" w:hAnsi="Arial Narrow" w:cs="Arial"/>
                <w:sz w:val="16"/>
                <w:szCs w:val="16"/>
              </w:rPr>
              <w:t>6.320</w:t>
            </w:r>
          </w:p>
        </w:tc>
        <w:tc>
          <w:tcPr>
            <w:tcW w:w="1130" w:type="dxa"/>
            <w:tcBorders>
              <w:right w:val="single" w:sz="4" w:space="0" w:color="auto"/>
            </w:tcBorders>
            <w:shd w:val="clear" w:color="auto" w:fill="auto"/>
            <w:noWrap/>
            <w:tcMar>
              <w:top w:w="15" w:type="dxa"/>
              <w:left w:w="15" w:type="dxa"/>
              <w:bottom w:w="0" w:type="dxa"/>
              <w:right w:w="15" w:type="dxa"/>
            </w:tcMar>
            <w:vAlign w:val="center"/>
          </w:tcPr>
          <w:p w:rsidR="004B5052" w:rsidRPr="0074392C" w:rsidRDefault="00B34BC2" w:rsidP="00CA1549">
            <w:pPr>
              <w:jc w:val="center"/>
              <w:rPr>
                <w:rFonts w:ascii="Arial Narrow" w:hAnsi="Arial Narrow" w:cs="Arial"/>
                <w:sz w:val="16"/>
                <w:szCs w:val="16"/>
              </w:rPr>
            </w:pPr>
            <w:r>
              <w:rPr>
                <w:rFonts w:ascii="Arial Narrow" w:hAnsi="Arial Narrow" w:cs="Arial"/>
                <w:sz w:val="16"/>
                <w:szCs w:val="16"/>
              </w:rPr>
              <w:t>5.920</w:t>
            </w:r>
          </w:p>
        </w:tc>
      </w:tr>
      <w:tr w:rsidR="004B5052" w:rsidRPr="0074392C" w:rsidTr="00CA1549">
        <w:trPr>
          <w:jc w:val="center"/>
        </w:trPr>
        <w:tc>
          <w:tcPr>
            <w:tcW w:w="0" w:type="auto"/>
            <w:tcBorders>
              <w:left w:val="single" w:sz="4" w:space="0" w:color="auto"/>
              <w:bottom w:val="single" w:sz="4" w:space="0" w:color="auto"/>
            </w:tcBorders>
            <w:shd w:val="clear" w:color="auto" w:fill="auto"/>
            <w:noWrap/>
            <w:tcMar>
              <w:top w:w="15" w:type="dxa"/>
              <w:left w:w="15" w:type="dxa"/>
              <w:bottom w:w="0" w:type="dxa"/>
              <w:right w:w="15" w:type="dxa"/>
            </w:tcMar>
            <w:vAlign w:val="center"/>
          </w:tcPr>
          <w:p w:rsidR="004B5052" w:rsidRPr="0074392C" w:rsidRDefault="004B5052" w:rsidP="00CA1549">
            <w:pPr>
              <w:spacing w:before="120" w:after="120"/>
              <w:rPr>
                <w:rFonts w:ascii="Arial Narrow" w:hAnsi="Arial Narrow"/>
                <w:bCs/>
                <w:sz w:val="16"/>
              </w:rPr>
            </w:pPr>
            <w:r w:rsidRPr="0074392C">
              <w:rPr>
                <w:rFonts w:ascii="Arial Narrow" w:hAnsi="Arial Narrow"/>
                <w:bCs/>
                <w:sz w:val="16"/>
              </w:rPr>
              <w:t xml:space="preserve">Τόκοι μετά </w:t>
            </w:r>
            <w:r w:rsidRPr="0074392C">
              <w:rPr>
                <w:rFonts w:ascii="Arial Narrow" w:hAnsi="Arial Narrow"/>
                <w:bCs/>
                <w:sz w:val="16"/>
                <w:lang w:val="en-GB"/>
              </w:rPr>
              <w:t>SWAP</w:t>
            </w:r>
            <w:r w:rsidRPr="0074392C">
              <w:rPr>
                <w:rFonts w:ascii="Arial Narrow" w:hAnsi="Arial Narrow"/>
                <w:bCs/>
                <w:sz w:val="16"/>
              </w:rPr>
              <w:t xml:space="preserve"> ως % του ΑΕΠ</w:t>
            </w:r>
          </w:p>
        </w:tc>
        <w:tc>
          <w:tcPr>
            <w:tcW w:w="0" w:type="auto"/>
            <w:tcBorders>
              <w:bottom w:val="single" w:sz="4" w:space="0" w:color="auto"/>
            </w:tcBorders>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rPr>
            </w:pPr>
            <w:r w:rsidRPr="0074392C">
              <w:rPr>
                <w:rFonts w:ascii="Arial Narrow" w:hAnsi="Arial Narrow" w:cs="Arial"/>
                <w:sz w:val="16"/>
                <w:szCs w:val="16"/>
              </w:rPr>
              <w:t>3,2%</w:t>
            </w:r>
          </w:p>
        </w:tc>
        <w:tc>
          <w:tcPr>
            <w:tcW w:w="0" w:type="auto"/>
            <w:tcBorders>
              <w:bottom w:val="single" w:sz="4" w:space="0" w:color="auto"/>
            </w:tcBorders>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rPr>
            </w:pPr>
            <w:r w:rsidRPr="0074392C">
              <w:rPr>
                <w:rFonts w:ascii="Arial Narrow" w:hAnsi="Arial Narrow" w:cs="Arial"/>
                <w:sz w:val="16"/>
                <w:szCs w:val="16"/>
              </w:rPr>
              <w:t>3,</w:t>
            </w:r>
            <w:r w:rsidRPr="0074392C">
              <w:rPr>
                <w:rFonts w:ascii="Arial Narrow" w:hAnsi="Arial Narrow" w:cs="Arial"/>
                <w:sz w:val="16"/>
                <w:szCs w:val="16"/>
                <w:lang w:val="en-US"/>
              </w:rPr>
              <w:t>4</w:t>
            </w:r>
            <w:r w:rsidRPr="0074392C">
              <w:rPr>
                <w:rFonts w:ascii="Arial Narrow" w:hAnsi="Arial Narrow" w:cs="Arial"/>
                <w:sz w:val="16"/>
                <w:szCs w:val="16"/>
              </w:rPr>
              <w:t>%</w:t>
            </w:r>
          </w:p>
        </w:tc>
        <w:tc>
          <w:tcPr>
            <w:tcW w:w="1031" w:type="dxa"/>
            <w:tcBorders>
              <w:bottom w:val="single" w:sz="4" w:space="0" w:color="auto"/>
            </w:tcBorders>
            <w:shd w:val="clear" w:color="auto" w:fill="auto"/>
            <w:noWrap/>
            <w:tcMar>
              <w:top w:w="15" w:type="dxa"/>
              <w:left w:w="15" w:type="dxa"/>
              <w:bottom w:w="0" w:type="dxa"/>
              <w:right w:w="15" w:type="dxa"/>
            </w:tcMar>
            <w:vAlign w:val="center"/>
          </w:tcPr>
          <w:p w:rsidR="004B5052" w:rsidRPr="0074392C" w:rsidRDefault="004B5052" w:rsidP="00264501">
            <w:pPr>
              <w:jc w:val="center"/>
              <w:rPr>
                <w:rFonts w:ascii="Arial Narrow" w:hAnsi="Arial Narrow" w:cs="Arial"/>
                <w:sz w:val="16"/>
                <w:szCs w:val="16"/>
              </w:rPr>
            </w:pPr>
            <w:r w:rsidRPr="0074392C">
              <w:rPr>
                <w:rFonts w:ascii="Arial Narrow" w:hAnsi="Arial Narrow" w:cs="Arial"/>
                <w:sz w:val="16"/>
                <w:szCs w:val="16"/>
              </w:rPr>
              <w:t>3,0%</w:t>
            </w:r>
          </w:p>
        </w:tc>
        <w:tc>
          <w:tcPr>
            <w:tcW w:w="900" w:type="dxa"/>
            <w:tcBorders>
              <w:bottom w:val="single" w:sz="4" w:space="0" w:color="auto"/>
            </w:tcBorders>
            <w:shd w:val="clear" w:color="auto" w:fill="auto"/>
            <w:vAlign w:val="center"/>
          </w:tcPr>
          <w:p w:rsidR="004B5052" w:rsidRPr="0074392C" w:rsidRDefault="004B5052" w:rsidP="00264501">
            <w:pPr>
              <w:jc w:val="center"/>
              <w:rPr>
                <w:rFonts w:ascii="Arial Narrow" w:hAnsi="Arial Narrow" w:cs="Arial"/>
                <w:sz w:val="16"/>
                <w:szCs w:val="16"/>
              </w:rPr>
            </w:pPr>
            <w:r>
              <w:rPr>
                <w:rFonts w:ascii="Arial Narrow" w:hAnsi="Arial Narrow" w:cs="Arial"/>
                <w:sz w:val="16"/>
                <w:szCs w:val="16"/>
              </w:rPr>
              <w:t>3,2%</w:t>
            </w:r>
          </w:p>
        </w:tc>
        <w:tc>
          <w:tcPr>
            <w:tcW w:w="854" w:type="dxa"/>
            <w:tcBorders>
              <w:bottom w:val="single" w:sz="4" w:space="0" w:color="auto"/>
            </w:tcBorders>
            <w:vAlign w:val="center"/>
          </w:tcPr>
          <w:p w:rsidR="004B5052" w:rsidRPr="0074392C" w:rsidRDefault="00B34BC2" w:rsidP="00264501">
            <w:pPr>
              <w:jc w:val="center"/>
              <w:rPr>
                <w:rFonts w:ascii="Arial Narrow" w:hAnsi="Arial Narrow" w:cs="Arial"/>
                <w:sz w:val="16"/>
                <w:szCs w:val="16"/>
              </w:rPr>
            </w:pPr>
            <w:r>
              <w:rPr>
                <w:rFonts w:ascii="Arial Narrow" w:hAnsi="Arial Narrow" w:cs="Arial"/>
                <w:sz w:val="16"/>
                <w:szCs w:val="16"/>
              </w:rPr>
              <w:t>3,7%</w:t>
            </w:r>
          </w:p>
        </w:tc>
        <w:tc>
          <w:tcPr>
            <w:tcW w:w="1130" w:type="dxa"/>
            <w:tcBorders>
              <w:bottom w:val="single" w:sz="4" w:space="0" w:color="auto"/>
              <w:right w:val="single" w:sz="4" w:space="0" w:color="auto"/>
            </w:tcBorders>
            <w:shd w:val="clear" w:color="auto" w:fill="auto"/>
            <w:noWrap/>
            <w:tcMar>
              <w:top w:w="15" w:type="dxa"/>
              <w:left w:w="15" w:type="dxa"/>
              <w:bottom w:w="0" w:type="dxa"/>
              <w:right w:w="15" w:type="dxa"/>
            </w:tcMar>
            <w:vAlign w:val="center"/>
          </w:tcPr>
          <w:p w:rsidR="004B5052" w:rsidRPr="0074392C" w:rsidRDefault="00B34BC2" w:rsidP="00CA1549">
            <w:pPr>
              <w:jc w:val="center"/>
              <w:rPr>
                <w:rFonts w:ascii="Arial Narrow" w:hAnsi="Arial Narrow" w:cs="Arial"/>
                <w:sz w:val="16"/>
                <w:szCs w:val="16"/>
              </w:rPr>
            </w:pPr>
            <w:r>
              <w:rPr>
                <w:rFonts w:ascii="Arial Narrow" w:hAnsi="Arial Narrow" w:cs="Arial"/>
                <w:sz w:val="16"/>
                <w:szCs w:val="16"/>
              </w:rPr>
              <w:t>3,2%</w:t>
            </w:r>
          </w:p>
        </w:tc>
      </w:tr>
    </w:tbl>
    <w:p w:rsidR="003E7B61" w:rsidRPr="0074392C" w:rsidRDefault="003E7B61" w:rsidP="003E7B61">
      <w:pPr>
        <w:tabs>
          <w:tab w:val="left" w:pos="1660"/>
          <w:tab w:val="left" w:pos="2740"/>
          <w:tab w:val="left" w:pos="3820"/>
          <w:tab w:val="left" w:pos="4900"/>
          <w:tab w:val="left" w:pos="5980"/>
          <w:tab w:val="left" w:pos="7060"/>
        </w:tabs>
        <w:ind w:firstLine="540"/>
        <w:rPr>
          <w:rFonts w:ascii="Arial Narrow" w:hAnsi="Arial Narrow"/>
          <w:sz w:val="16"/>
          <w:szCs w:val="16"/>
        </w:rPr>
      </w:pPr>
      <w:r w:rsidRPr="0074392C">
        <w:rPr>
          <w:rFonts w:ascii="Arial Narrow" w:hAnsi="Arial Narrow"/>
          <w:sz w:val="16"/>
          <w:szCs w:val="16"/>
        </w:rPr>
        <w:t>*  Εκτιμήσεις</w:t>
      </w:r>
    </w:p>
    <w:p w:rsidR="003E7B61" w:rsidRPr="0074392C" w:rsidRDefault="003E7B61" w:rsidP="003E7B61">
      <w:pPr>
        <w:tabs>
          <w:tab w:val="left" w:pos="1660"/>
          <w:tab w:val="left" w:pos="2740"/>
          <w:tab w:val="left" w:pos="3820"/>
          <w:tab w:val="left" w:pos="4900"/>
          <w:tab w:val="left" w:pos="5980"/>
          <w:tab w:val="left" w:pos="7060"/>
        </w:tabs>
        <w:ind w:firstLine="540"/>
        <w:rPr>
          <w:rFonts w:ascii="Arial Narrow" w:hAnsi="Arial Narrow"/>
          <w:sz w:val="16"/>
          <w:szCs w:val="16"/>
        </w:rPr>
      </w:pPr>
      <w:r w:rsidRPr="0074392C">
        <w:rPr>
          <w:rFonts w:ascii="Arial Narrow" w:hAnsi="Arial Narrow"/>
          <w:sz w:val="16"/>
          <w:szCs w:val="16"/>
        </w:rPr>
        <w:t>** Προβλέψεις</w:t>
      </w:r>
    </w:p>
    <w:p w:rsidR="003E7B61" w:rsidRPr="0074392C" w:rsidRDefault="003E7B61" w:rsidP="003E7B61">
      <w:pPr>
        <w:jc w:val="both"/>
        <w:rPr>
          <w:lang w:val="en-GB"/>
        </w:rPr>
      </w:pPr>
    </w:p>
    <w:p w:rsidR="003E7B61" w:rsidRPr="0074392C" w:rsidRDefault="003E7B61" w:rsidP="003E7B61">
      <w:pPr>
        <w:jc w:val="both"/>
        <w:rPr>
          <w:szCs w:val="22"/>
        </w:rPr>
      </w:pPr>
    </w:p>
    <w:p w:rsidR="003E7B61" w:rsidRPr="0074392C" w:rsidRDefault="003E7B61" w:rsidP="003E7B61">
      <w:pPr>
        <w:shd w:val="clear" w:color="auto" w:fill="BFBFBF"/>
        <w:tabs>
          <w:tab w:val="left" w:pos="540"/>
        </w:tabs>
        <w:jc w:val="both"/>
        <w:rPr>
          <w:rFonts w:ascii="Arial Narrow" w:hAnsi="Arial Narrow"/>
          <w:b/>
          <w:bCs/>
          <w:sz w:val="26"/>
          <w:szCs w:val="26"/>
        </w:rPr>
      </w:pPr>
      <w:r w:rsidRPr="0074392C">
        <w:rPr>
          <w:rFonts w:ascii="Arial Narrow" w:hAnsi="Arial Narrow"/>
          <w:b/>
          <w:bCs/>
          <w:sz w:val="26"/>
          <w:szCs w:val="26"/>
        </w:rPr>
        <w:t>3.</w:t>
      </w:r>
      <w:r w:rsidRPr="0074392C">
        <w:rPr>
          <w:rFonts w:ascii="Arial Narrow" w:hAnsi="Arial Narrow"/>
          <w:b/>
          <w:bCs/>
          <w:sz w:val="26"/>
          <w:szCs w:val="26"/>
        </w:rPr>
        <w:tab/>
        <w:t>Οι αγορές τίτλων του Ελληνικού Δημοσίου</w:t>
      </w:r>
    </w:p>
    <w:p w:rsidR="00E16D22" w:rsidRPr="00F5330F" w:rsidRDefault="00E16D22" w:rsidP="00E16D22">
      <w:pPr>
        <w:jc w:val="both"/>
        <w:rPr>
          <w:b/>
          <w:bCs/>
          <w:szCs w:val="22"/>
        </w:rPr>
      </w:pPr>
    </w:p>
    <w:p w:rsidR="00E16D22" w:rsidRPr="00050885" w:rsidRDefault="00E16D22" w:rsidP="00E16D22">
      <w:pPr>
        <w:jc w:val="both"/>
        <w:rPr>
          <w:bCs/>
          <w:highlight w:val="lightGray"/>
        </w:rPr>
      </w:pPr>
      <w:r>
        <w:rPr>
          <w:bCs/>
        </w:rPr>
        <w:t>Σ</w:t>
      </w:r>
      <w:r w:rsidRPr="00A65DFE">
        <w:rPr>
          <w:bCs/>
        </w:rPr>
        <w:t>τ</w:t>
      </w:r>
      <w:r>
        <w:rPr>
          <w:bCs/>
        </w:rPr>
        <w:t>ις</w:t>
      </w:r>
      <w:r w:rsidRPr="00A65DFE">
        <w:rPr>
          <w:bCs/>
        </w:rPr>
        <w:t xml:space="preserve"> </w:t>
      </w:r>
      <w:r>
        <w:rPr>
          <w:bCs/>
        </w:rPr>
        <w:t xml:space="preserve">18 Μαρτίου του </w:t>
      </w:r>
      <w:r w:rsidRPr="00A65DFE">
        <w:rPr>
          <w:bCs/>
        </w:rPr>
        <w:t>20</w:t>
      </w:r>
      <w:r>
        <w:rPr>
          <w:bCs/>
        </w:rPr>
        <w:t xml:space="preserve">20 </w:t>
      </w:r>
      <w:r w:rsidRPr="00F41FAA">
        <w:rPr>
          <w:bCs/>
        </w:rPr>
        <w:t>η Ευρωπαϊκή Κεντρική Τράπεζα</w:t>
      </w:r>
      <w:r w:rsidRPr="003069AB">
        <w:rPr>
          <w:bCs/>
        </w:rPr>
        <w:t>,</w:t>
      </w:r>
      <w:r>
        <w:rPr>
          <w:bCs/>
        </w:rPr>
        <w:t xml:space="preserve"> επιπλέον των τακτικών μηνιαίων </w:t>
      </w:r>
      <w:r w:rsidRPr="00693272">
        <w:rPr>
          <w:bCs/>
        </w:rPr>
        <w:t xml:space="preserve">αγορών ύψους 20 </w:t>
      </w:r>
      <w:r w:rsidR="008F24A5">
        <w:rPr>
          <w:bCs/>
        </w:rPr>
        <w:t>δισ.</w:t>
      </w:r>
      <w:r w:rsidRPr="00693272">
        <w:rPr>
          <w:bCs/>
        </w:rPr>
        <w:t xml:space="preserve"> ευρώ</w:t>
      </w:r>
      <w:r>
        <w:rPr>
          <w:bCs/>
        </w:rPr>
        <w:t>,</w:t>
      </w:r>
      <w:r w:rsidRPr="00F41FAA">
        <w:rPr>
          <w:bCs/>
        </w:rPr>
        <w:t xml:space="preserve"> </w:t>
      </w:r>
      <w:r>
        <w:rPr>
          <w:bCs/>
        </w:rPr>
        <w:t xml:space="preserve">ανακοίνωσε ένα νέο πακέτο μέτρων στήριξης της οικονομίας λόγω του κινδύνου εξάπλωσης του </w:t>
      </w:r>
      <w:proofErr w:type="spellStart"/>
      <w:r>
        <w:rPr>
          <w:bCs/>
          <w:lang w:val="en-US"/>
        </w:rPr>
        <w:t>Covid</w:t>
      </w:r>
      <w:proofErr w:type="spellEnd"/>
      <w:r w:rsidR="00D97D78">
        <w:rPr>
          <w:bCs/>
        </w:rPr>
        <w:t>-</w:t>
      </w:r>
      <w:r w:rsidRPr="003069AB">
        <w:rPr>
          <w:bCs/>
        </w:rPr>
        <w:t>19</w:t>
      </w:r>
      <w:r w:rsidRPr="00693272">
        <w:rPr>
          <w:bCs/>
        </w:rPr>
        <w:t xml:space="preserve"> </w:t>
      </w:r>
      <w:r>
        <w:rPr>
          <w:bCs/>
        </w:rPr>
        <w:t>(«</w:t>
      </w:r>
      <w:r>
        <w:rPr>
          <w:bCs/>
          <w:lang w:val="en-US"/>
        </w:rPr>
        <w:t>Pandemic</w:t>
      </w:r>
      <w:r w:rsidRPr="001B1EDD">
        <w:rPr>
          <w:bCs/>
        </w:rPr>
        <w:t xml:space="preserve"> </w:t>
      </w:r>
      <w:r>
        <w:rPr>
          <w:bCs/>
          <w:lang w:val="en-US"/>
        </w:rPr>
        <w:t>Emergency</w:t>
      </w:r>
      <w:r w:rsidRPr="001B1EDD">
        <w:rPr>
          <w:bCs/>
        </w:rPr>
        <w:t xml:space="preserve"> </w:t>
      </w:r>
      <w:r>
        <w:rPr>
          <w:bCs/>
          <w:lang w:val="en-US"/>
        </w:rPr>
        <w:t>Purchase</w:t>
      </w:r>
      <w:r w:rsidRPr="001B1EDD">
        <w:rPr>
          <w:bCs/>
        </w:rPr>
        <w:t xml:space="preserve"> </w:t>
      </w:r>
      <w:proofErr w:type="spellStart"/>
      <w:r>
        <w:rPr>
          <w:bCs/>
          <w:lang w:val="en-US"/>
        </w:rPr>
        <w:t>Programme</w:t>
      </w:r>
      <w:proofErr w:type="spellEnd"/>
      <w:r>
        <w:rPr>
          <w:bCs/>
        </w:rPr>
        <w:t>»</w:t>
      </w:r>
      <w:r w:rsidRPr="001B1EDD">
        <w:rPr>
          <w:bCs/>
        </w:rPr>
        <w:t xml:space="preserve"> </w:t>
      </w:r>
      <w:r>
        <w:rPr>
          <w:bCs/>
        </w:rPr>
        <w:t>–</w:t>
      </w:r>
      <w:r>
        <w:rPr>
          <w:bCs/>
          <w:lang w:val="en-US"/>
        </w:rPr>
        <w:t>PEPP</w:t>
      </w:r>
      <w:r w:rsidRPr="00286866">
        <w:rPr>
          <w:bCs/>
        </w:rPr>
        <w:t xml:space="preserve">) </w:t>
      </w:r>
      <w:r>
        <w:rPr>
          <w:bCs/>
        </w:rPr>
        <w:t xml:space="preserve">το οποίο περιλαμβάνει ένα προσωρινό πρόγραμμα αγοράς </w:t>
      </w:r>
      <w:r w:rsidRPr="00F41FAA">
        <w:rPr>
          <w:bCs/>
        </w:rPr>
        <w:t xml:space="preserve">χρεογράφων </w:t>
      </w:r>
      <w:r>
        <w:rPr>
          <w:bCs/>
        </w:rPr>
        <w:t xml:space="preserve">ύψους 750 </w:t>
      </w:r>
      <w:r w:rsidR="008F24A5">
        <w:rPr>
          <w:bCs/>
        </w:rPr>
        <w:t>δισ.</w:t>
      </w:r>
      <w:r>
        <w:rPr>
          <w:bCs/>
        </w:rPr>
        <w:t xml:space="preserve"> ευρώ, καταρχήν έως το τέλος του τρέχοντος έτους και με προοπτική τη συνέχισή του τουλάχιστον έως τον Ιούνιο του 2021. Στο νέο </w:t>
      </w:r>
      <w:r w:rsidRPr="00A65DFE">
        <w:rPr>
          <w:bCs/>
        </w:rPr>
        <w:t xml:space="preserve">πρόγραμμα ποσοτικής χαλάρωσης </w:t>
      </w:r>
      <w:r>
        <w:rPr>
          <w:bCs/>
        </w:rPr>
        <w:t>περιλαμβάνονται και τα ελληνικά ομόλογα, γεγονός που έχει ήδη πολλαπλά οφέλη τόσο στη μείωση του κόστους δανεισμού του Ελληνικού Δημοσίου</w:t>
      </w:r>
      <w:r w:rsidR="00C63D18">
        <w:rPr>
          <w:bCs/>
        </w:rPr>
        <w:t>,</w:t>
      </w:r>
      <w:r>
        <w:rPr>
          <w:bCs/>
        </w:rPr>
        <w:t xml:space="preserve"> όσο και στην ενίσχυση της ρευστότητας της οικονομίας. Επιπ</w:t>
      </w:r>
      <w:r w:rsidR="00C63D18">
        <w:rPr>
          <w:bCs/>
        </w:rPr>
        <w:t>ρόσθετα</w:t>
      </w:r>
      <w:r>
        <w:rPr>
          <w:bCs/>
        </w:rPr>
        <w:t xml:space="preserve">, τα ελληνικά χρεόγραφα είναι πλέον αποδεκτά </w:t>
      </w:r>
      <w:r w:rsidRPr="00A93CD4">
        <w:rPr>
          <w:bCs/>
        </w:rPr>
        <w:t>από την ΕΚΤ</w:t>
      </w:r>
      <w:r>
        <w:rPr>
          <w:bCs/>
        </w:rPr>
        <w:t xml:space="preserve"> ως ενέχυρα για την παροχή ρευστότητας στις ελληνικές τράπεζες. </w:t>
      </w:r>
      <w:r w:rsidRPr="00355B0E">
        <w:rPr>
          <w:bCs/>
        </w:rPr>
        <w:t>Κατά τ</w:t>
      </w:r>
      <w:r>
        <w:rPr>
          <w:bCs/>
        </w:rPr>
        <w:t>ο πρώτο δίμηνο</w:t>
      </w:r>
      <w:r w:rsidRPr="00355B0E">
        <w:rPr>
          <w:bCs/>
        </w:rPr>
        <w:t xml:space="preserve"> του 2020 οι αποδόσεις των κρατικών τίτλων των περισσοτέρων χωρών της Ευρωζώνης </w:t>
      </w:r>
      <w:r>
        <w:rPr>
          <w:bCs/>
        </w:rPr>
        <w:t>συνέχισαν να διαπραγματεύονται σε</w:t>
      </w:r>
      <w:r w:rsidRPr="00355B0E">
        <w:rPr>
          <w:bCs/>
        </w:rPr>
        <w:t xml:space="preserve"> ιστορικά χαμηλά επίπεδα</w:t>
      </w:r>
      <w:r>
        <w:rPr>
          <w:bCs/>
        </w:rPr>
        <w:t xml:space="preserve"> </w:t>
      </w:r>
      <w:r w:rsidRPr="00355B0E">
        <w:rPr>
          <w:bCs/>
        </w:rPr>
        <w:t xml:space="preserve">σε όλες τις διάρκειες, </w:t>
      </w:r>
      <w:r>
        <w:rPr>
          <w:bCs/>
        </w:rPr>
        <w:t xml:space="preserve">ενώ από τις αρχές Μαρτίου υπήρξε προσωρινή άνοδος των αποδόσεων μέχρι την ανακοίνωση του </w:t>
      </w:r>
      <w:r>
        <w:rPr>
          <w:bCs/>
          <w:lang w:val="en-US"/>
        </w:rPr>
        <w:t>PEPP</w:t>
      </w:r>
      <w:r w:rsidR="00C63D18">
        <w:rPr>
          <w:bCs/>
        </w:rPr>
        <w:t>,</w:t>
      </w:r>
      <w:r w:rsidRPr="0088350B">
        <w:rPr>
          <w:bCs/>
        </w:rPr>
        <w:t xml:space="preserve"> </w:t>
      </w:r>
      <w:r>
        <w:rPr>
          <w:bCs/>
        </w:rPr>
        <w:t xml:space="preserve">οπότε στη συνέχεια διαμορφώνονται εκ νέου στα επίπεδα πριν την κρίση του </w:t>
      </w:r>
      <w:proofErr w:type="spellStart"/>
      <w:r>
        <w:rPr>
          <w:bCs/>
          <w:lang w:val="en-US"/>
        </w:rPr>
        <w:t>Covid</w:t>
      </w:r>
      <w:proofErr w:type="spellEnd"/>
      <w:r w:rsidR="00D97D78">
        <w:rPr>
          <w:bCs/>
        </w:rPr>
        <w:t>-</w:t>
      </w:r>
      <w:r w:rsidRPr="001B12EF">
        <w:rPr>
          <w:bCs/>
        </w:rPr>
        <w:t>19</w:t>
      </w:r>
      <w:r w:rsidRPr="0088350B">
        <w:rPr>
          <w:bCs/>
        </w:rPr>
        <w:t>.</w:t>
      </w:r>
      <w:r w:rsidRPr="00050885">
        <w:rPr>
          <w:bCs/>
          <w:highlight w:val="lightGray"/>
        </w:rPr>
        <w:t xml:space="preserve"> </w:t>
      </w:r>
    </w:p>
    <w:p w:rsidR="00E16D22" w:rsidRPr="00050885" w:rsidRDefault="00E16D22" w:rsidP="00E16D22">
      <w:pPr>
        <w:jc w:val="both"/>
        <w:rPr>
          <w:bCs/>
          <w:highlight w:val="lightGray"/>
        </w:rPr>
      </w:pPr>
    </w:p>
    <w:p w:rsidR="00E16D22" w:rsidRPr="00FA75CE" w:rsidRDefault="00E16D22" w:rsidP="00E16D22">
      <w:pPr>
        <w:jc w:val="both"/>
        <w:rPr>
          <w:bCs/>
        </w:rPr>
      </w:pPr>
      <w:r w:rsidRPr="00FA75CE">
        <w:rPr>
          <w:bCs/>
        </w:rPr>
        <w:t>Η διαφορά απόδοσης (</w:t>
      </w:r>
      <w:proofErr w:type="spellStart"/>
      <w:r w:rsidRPr="00FA75CE">
        <w:rPr>
          <w:bCs/>
        </w:rPr>
        <w:t>yield</w:t>
      </w:r>
      <w:proofErr w:type="spellEnd"/>
      <w:r w:rsidRPr="00FA75CE">
        <w:rPr>
          <w:bCs/>
        </w:rPr>
        <w:t xml:space="preserve"> </w:t>
      </w:r>
      <w:proofErr w:type="spellStart"/>
      <w:r w:rsidRPr="00FA75CE">
        <w:rPr>
          <w:bCs/>
        </w:rPr>
        <w:t>spread</w:t>
      </w:r>
      <w:proofErr w:type="spellEnd"/>
      <w:r w:rsidRPr="00FA75CE">
        <w:rPr>
          <w:bCs/>
        </w:rPr>
        <w:t xml:space="preserve">) μεταξύ του δεκαετούς ελληνικού και του αντίστοιχου γερμανικού ομολόγου αναφοράς κινήθηκε, ως επί το πλείστον, στα επίπεδα των 140-160 μονάδων βάσης το πρώτο </w:t>
      </w:r>
      <w:r>
        <w:rPr>
          <w:bCs/>
        </w:rPr>
        <w:t>δίμηνο</w:t>
      </w:r>
      <w:r w:rsidRPr="00FA75CE">
        <w:rPr>
          <w:bCs/>
        </w:rPr>
        <w:t xml:space="preserve"> του 2020</w:t>
      </w:r>
      <w:r>
        <w:rPr>
          <w:bCs/>
        </w:rPr>
        <w:t>, ενώ μετά το τέλο</w:t>
      </w:r>
      <w:r w:rsidRPr="00603274">
        <w:rPr>
          <w:bCs/>
        </w:rPr>
        <w:t xml:space="preserve">ς Φεβρουαρίου </w:t>
      </w:r>
      <w:r>
        <w:rPr>
          <w:bCs/>
        </w:rPr>
        <w:t xml:space="preserve">όπου ξέσπασε η κρίση του </w:t>
      </w:r>
      <w:proofErr w:type="spellStart"/>
      <w:r>
        <w:rPr>
          <w:bCs/>
        </w:rPr>
        <w:t>κορωνοϊού</w:t>
      </w:r>
      <w:proofErr w:type="spellEnd"/>
      <w:r>
        <w:rPr>
          <w:bCs/>
        </w:rPr>
        <w:t xml:space="preserve"> ανέβηκε μέχρι τις 400 μονάδες βάσης</w:t>
      </w:r>
      <w:r w:rsidRPr="00FA75CE">
        <w:rPr>
          <w:bCs/>
        </w:rPr>
        <w:t xml:space="preserve">. </w:t>
      </w:r>
      <w:r>
        <w:rPr>
          <w:bCs/>
        </w:rPr>
        <w:t xml:space="preserve">Στη συνέχεια, μετά τις 18 Μαρτίου, οπότε ανακοινώθηκε το έκτακτο πακέτο μέτρων από την Ευρωπαϊκή Κεντρική Τράπεζα, </w:t>
      </w:r>
      <w:r w:rsidRPr="00FA75CE">
        <w:rPr>
          <w:bCs/>
        </w:rPr>
        <w:t>το περιθώριο απόδοσης υποχωρεί στα</w:t>
      </w:r>
      <w:r>
        <w:rPr>
          <w:bCs/>
        </w:rPr>
        <w:t>διακ</w:t>
      </w:r>
      <w:r w:rsidRPr="00FA75CE">
        <w:rPr>
          <w:bCs/>
        </w:rPr>
        <w:t xml:space="preserve">ά έναντι του γερμανικού κάτω από τις </w:t>
      </w:r>
      <w:r>
        <w:rPr>
          <w:bCs/>
        </w:rPr>
        <w:t>2</w:t>
      </w:r>
      <w:r w:rsidRPr="00FA75CE">
        <w:rPr>
          <w:bCs/>
        </w:rPr>
        <w:t>00 μο</w:t>
      </w:r>
      <w:r w:rsidRPr="00FA75CE">
        <w:rPr>
          <w:bCs/>
        </w:rPr>
        <w:lastRenderedPageBreak/>
        <w:t xml:space="preserve">νάδες και διαμορφώνεται στα τρέχοντα επίπεδα των 163 μονάδων βάσης, με την τρέχουσα απόδοση του δεκαετούς ομολόγου να διαμορφώνεται γύρω στο 1,13%. </w:t>
      </w:r>
    </w:p>
    <w:p w:rsidR="00E16D22" w:rsidRPr="00050885" w:rsidRDefault="00E16D22" w:rsidP="00E16D22">
      <w:pPr>
        <w:jc w:val="both"/>
        <w:rPr>
          <w:bCs/>
          <w:highlight w:val="lightGray"/>
        </w:rPr>
      </w:pPr>
    </w:p>
    <w:p w:rsidR="00E16D22" w:rsidRPr="00F5330F" w:rsidRDefault="00E16D22" w:rsidP="00E16D22">
      <w:pPr>
        <w:jc w:val="both"/>
        <w:rPr>
          <w:bCs/>
        </w:rPr>
      </w:pPr>
      <w:r w:rsidRPr="004B06D1">
        <w:rPr>
          <w:bCs/>
        </w:rPr>
        <w:t>Το βραχυχρόνιο κόστος δανεισμού του Ελληνικού Δημοσίου, όπως αποτυπώνεται στις δημοπρασίες εντόκων γραμματίων 13, 26 και 52 εβδομάδων, εξακολουθεί να κινείται σ</w:t>
      </w:r>
      <w:r>
        <w:rPr>
          <w:bCs/>
        </w:rPr>
        <w:t>ε</w:t>
      </w:r>
      <w:r w:rsidRPr="004B06D1">
        <w:rPr>
          <w:bCs/>
        </w:rPr>
        <w:t xml:space="preserve"> ιστορικά χαμηλά επίπεδα</w:t>
      </w:r>
      <w:r>
        <w:rPr>
          <w:bCs/>
        </w:rPr>
        <w:t xml:space="preserve"> παρά την πρόσκαιρη άνοδο κατά το δεύτερο τρίμηνο του έτους</w:t>
      </w:r>
      <w:r w:rsidRPr="004B06D1">
        <w:rPr>
          <w:bCs/>
        </w:rPr>
        <w:t>. Στις πρόσφατες δημοπρασίες του Αυγούστου και του Σεπτεμβρίου του 20</w:t>
      </w:r>
      <w:r>
        <w:rPr>
          <w:bCs/>
        </w:rPr>
        <w:t>20</w:t>
      </w:r>
      <w:r w:rsidRPr="004B06D1">
        <w:rPr>
          <w:bCs/>
        </w:rPr>
        <w:t xml:space="preserve"> αυτό διαμορφώθηκε στο </w:t>
      </w:r>
      <w:r>
        <w:rPr>
          <w:bCs/>
        </w:rPr>
        <w:t>-</w:t>
      </w:r>
      <w:r w:rsidRPr="004B06D1">
        <w:rPr>
          <w:bCs/>
        </w:rPr>
        <w:t>0,0</w:t>
      </w:r>
      <w:r>
        <w:rPr>
          <w:bCs/>
        </w:rPr>
        <w:t>4</w:t>
      </w:r>
      <w:r w:rsidRPr="004B06D1">
        <w:rPr>
          <w:bCs/>
        </w:rPr>
        <w:t>% για τα τρίμηνα, 0,</w:t>
      </w:r>
      <w:r>
        <w:rPr>
          <w:bCs/>
        </w:rPr>
        <w:t>0</w:t>
      </w:r>
      <w:r w:rsidRPr="004B06D1">
        <w:rPr>
          <w:bCs/>
        </w:rPr>
        <w:t>% για τα εξάμηνα</w:t>
      </w:r>
      <w:r w:rsidRPr="00CC1986">
        <w:rPr>
          <w:bCs/>
        </w:rPr>
        <w:t xml:space="preserve"> </w:t>
      </w:r>
      <w:r w:rsidRPr="004B06D1">
        <w:rPr>
          <w:bCs/>
        </w:rPr>
        <w:t xml:space="preserve">και </w:t>
      </w:r>
      <w:r>
        <w:rPr>
          <w:bCs/>
        </w:rPr>
        <w:t xml:space="preserve">σε ιστορικά χαμηλά επίπεδα, </w:t>
      </w:r>
      <w:r w:rsidRPr="00CC1986">
        <w:rPr>
          <w:bCs/>
        </w:rPr>
        <w:t>0,0</w:t>
      </w:r>
      <w:r w:rsidRPr="004B06D1">
        <w:rPr>
          <w:bCs/>
        </w:rPr>
        <w:t>%</w:t>
      </w:r>
      <w:r>
        <w:rPr>
          <w:bCs/>
        </w:rPr>
        <w:t>,</w:t>
      </w:r>
      <w:r w:rsidRPr="004B06D1">
        <w:rPr>
          <w:bCs/>
        </w:rPr>
        <w:t xml:space="preserve"> για τα ετήσια έντοκα γραμμάτια</w:t>
      </w:r>
      <w:r w:rsidR="00C63D18">
        <w:rPr>
          <w:bCs/>
        </w:rPr>
        <w:t>,</w:t>
      </w:r>
      <w:r w:rsidRPr="004B06D1">
        <w:rPr>
          <w:bCs/>
        </w:rPr>
        <w:t xml:space="preserve"> γεγονός που οφείλεται στη διεθνή πτωτική πορεία των επιτοκίων</w:t>
      </w:r>
      <w:r>
        <w:rPr>
          <w:bCs/>
        </w:rPr>
        <w:t xml:space="preserve">, την ένταξη των ελληνικών ομολόγων στο </w:t>
      </w:r>
      <w:r>
        <w:rPr>
          <w:bCs/>
          <w:lang w:val="en-US"/>
        </w:rPr>
        <w:t>PEPP</w:t>
      </w:r>
      <w:r w:rsidRPr="004B06D1">
        <w:rPr>
          <w:bCs/>
        </w:rPr>
        <w:t xml:space="preserve"> και τ</w:t>
      </w:r>
      <w:r>
        <w:rPr>
          <w:bCs/>
        </w:rPr>
        <w:t>ις</w:t>
      </w:r>
      <w:r w:rsidRPr="004B06D1">
        <w:rPr>
          <w:bCs/>
        </w:rPr>
        <w:t xml:space="preserve"> επιτυχημένες εξόδους της χώρας στις αγορές</w:t>
      </w:r>
      <w:r>
        <w:rPr>
          <w:bCs/>
        </w:rPr>
        <w:t xml:space="preserve"> κεφαλαίων</w:t>
      </w:r>
      <w:r w:rsidRPr="004B06D1">
        <w:rPr>
          <w:bCs/>
        </w:rPr>
        <w:t xml:space="preserve"> τον Φεβρουάριο, τον </w:t>
      </w:r>
      <w:r>
        <w:rPr>
          <w:bCs/>
        </w:rPr>
        <w:t>Απρίλ</w:t>
      </w:r>
      <w:r w:rsidRPr="004B06D1">
        <w:rPr>
          <w:bCs/>
        </w:rPr>
        <w:t>ιο</w:t>
      </w:r>
      <w:r>
        <w:rPr>
          <w:bCs/>
        </w:rPr>
        <w:t>,</w:t>
      </w:r>
      <w:r w:rsidRPr="004B06D1">
        <w:rPr>
          <w:bCs/>
        </w:rPr>
        <w:t xml:space="preserve"> τον Ιού</w:t>
      </w:r>
      <w:r>
        <w:rPr>
          <w:bCs/>
        </w:rPr>
        <w:t>ν</w:t>
      </w:r>
      <w:r w:rsidRPr="004B06D1">
        <w:rPr>
          <w:bCs/>
        </w:rPr>
        <w:t>ιο</w:t>
      </w:r>
      <w:r>
        <w:rPr>
          <w:bCs/>
        </w:rPr>
        <w:t xml:space="preserve"> και τον Σεπτέμβριο</w:t>
      </w:r>
      <w:r w:rsidRPr="004B06D1">
        <w:rPr>
          <w:bCs/>
        </w:rPr>
        <w:t>.</w:t>
      </w:r>
    </w:p>
    <w:p w:rsidR="00E16D22" w:rsidRPr="00F5330F" w:rsidRDefault="00E16D22" w:rsidP="00E16D22">
      <w:pPr>
        <w:jc w:val="both"/>
        <w:rPr>
          <w:bCs/>
        </w:rPr>
      </w:pPr>
      <w:r w:rsidRPr="00F5330F">
        <w:rPr>
          <w:bCs/>
        </w:rPr>
        <w:t xml:space="preserve"> </w:t>
      </w:r>
    </w:p>
    <w:p w:rsidR="00E16D22" w:rsidRPr="00F5330F" w:rsidRDefault="00E16D22" w:rsidP="00E16D22">
      <w:pPr>
        <w:keepNext/>
        <w:jc w:val="both"/>
        <w:outlineLvl w:val="3"/>
        <w:rPr>
          <w:rFonts w:ascii="Arial Narrow" w:hAnsi="Arial Narrow"/>
          <w:b/>
          <w:color w:val="000080"/>
          <w:szCs w:val="22"/>
        </w:rPr>
      </w:pPr>
      <w:r w:rsidRPr="00F5330F">
        <w:rPr>
          <w:rFonts w:ascii="Arial Narrow" w:hAnsi="Arial Narrow"/>
          <w:b/>
          <w:color w:val="000080"/>
          <w:szCs w:val="22"/>
        </w:rPr>
        <w:t>Πρωτογενής αγορά τίτλων</w:t>
      </w:r>
    </w:p>
    <w:p w:rsidR="00E16D22" w:rsidRPr="00F5330F" w:rsidRDefault="00E16D22" w:rsidP="00E16D22">
      <w:pPr>
        <w:jc w:val="both"/>
        <w:rPr>
          <w:b/>
          <w:bCs/>
        </w:rPr>
      </w:pPr>
    </w:p>
    <w:p w:rsidR="00E16D22" w:rsidRDefault="00E16D22" w:rsidP="00E16D22">
      <w:pPr>
        <w:jc w:val="both"/>
        <w:rPr>
          <w:bCs/>
        </w:rPr>
      </w:pPr>
      <w:r w:rsidRPr="002B4212">
        <w:rPr>
          <w:bCs/>
        </w:rPr>
        <w:t>Το Ελληνικό Δημόσιο πραγματοποίησε τον Φεβρουάριο του 20</w:t>
      </w:r>
      <w:r>
        <w:rPr>
          <w:bCs/>
        </w:rPr>
        <w:t>20</w:t>
      </w:r>
      <w:r w:rsidRPr="002B4212">
        <w:rPr>
          <w:bCs/>
        </w:rPr>
        <w:t xml:space="preserve"> κοινοπρακτική έκδοση </w:t>
      </w:r>
      <w:r>
        <w:rPr>
          <w:bCs/>
        </w:rPr>
        <w:t>δεκα</w:t>
      </w:r>
      <w:r w:rsidRPr="002B4212">
        <w:rPr>
          <w:bCs/>
        </w:rPr>
        <w:t xml:space="preserve">πενταετούς ομολόγου ύψους 2.500 εκατ. ευρώ με σταθερό επιτόκιο </w:t>
      </w:r>
      <w:r>
        <w:rPr>
          <w:bCs/>
        </w:rPr>
        <w:t>1</w:t>
      </w:r>
      <w:r w:rsidRPr="002B4212">
        <w:rPr>
          <w:bCs/>
        </w:rPr>
        <w:t>,</w:t>
      </w:r>
      <w:r>
        <w:rPr>
          <w:bCs/>
        </w:rPr>
        <w:t>87</w:t>
      </w:r>
      <w:r w:rsidRPr="002B4212">
        <w:rPr>
          <w:bCs/>
        </w:rPr>
        <w:t>5%</w:t>
      </w:r>
      <w:r>
        <w:rPr>
          <w:bCs/>
        </w:rPr>
        <w:t xml:space="preserve">, </w:t>
      </w:r>
      <w:r w:rsidRPr="002B4212">
        <w:rPr>
          <w:bCs/>
        </w:rPr>
        <w:t xml:space="preserve">για πρώτη φορά μετά το </w:t>
      </w:r>
      <w:r w:rsidRPr="001279FF">
        <w:rPr>
          <w:bCs/>
        </w:rPr>
        <w:t>2009</w:t>
      </w:r>
      <w:r w:rsidRPr="002B4212">
        <w:rPr>
          <w:bCs/>
        </w:rPr>
        <w:t xml:space="preserve">. Ακολούθησε, τον </w:t>
      </w:r>
      <w:r>
        <w:rPr>
          <w:bCs/>
        </w:rPr>
        <w:t>Απρίλ</w:t>
      </w:r>
      <w:r w:rsidRPr="002B4212">
        <w:rPr>
          <w:bCs/>
        </w:rPr>
        <w:t>ιο του 20</w:t>
      </w:r>
      <w:r>
        <w:rPr>
          <w:bCs/>
        </w:rPr>
        <w:t>20</w:t>
      </w:r>
      <w:r w:rsidRPr="002B4212">
        <w:rPr>
          <w:bCs/>
        </w:rPr>
        <w:t xml:space="preserve">, η κοινοπρακτική έκδοση </w:t>
      </w:r>
      <w:r>
        <w:rPr>
          <w:bCs/>
        </w:rPr>
        <w:t>επτ</w:t>
      </w:r>
      <w:r w:rsidRPr="002B4212">
        <w:rPr>
          <w:bCs/>
        </w:rPr>
        <w:t>αετούς ομολόγου ύψους 2.</w:t>
      </w:r>
      <w:r>
        <w:rPr>
          <w:bCs/>
        </w:rPr>
        <w:t>0</w:t>
      </w:r>
      <w:r w:rsidRPr="002B4212">
        <w:rPr>
          <w:bCs/>
        </w:rPr>
        <w:t xml:space="preserve">00 εκατ. ευρώ με σταθερό επιτόκιο </w:t>
      </w:r>
      <w:r>
        <w:rPr>
          <w:bCs/>
        </w:rPr>
        <w:t>2</w:t>
      </w:r>
      <w:r w:rsidRPr="002B4212">
        <w:rPr>
          <w:bCs/>
        </w:rPr>
        <w:t>%</w:t>
      </w:r>
      <w:r>
        <w:rPr>
          <w:bCs/>
        </w:rPr>
        <w:t>.</w:t>
      </w:r>
      <w:r w:rsidRPr="002B4212">
        <w:rPr>
          <w:bCs/>
        </w:rPr>
        <w:t xml:space="preserve"> </w:t>
      </w:r>
      <w:r>
        <w:rPr>
          <w:bCs/>
        </w:rPr>
        <w:t>Στη συνέχεια</w:t>
      </w:r>
      <w:r w:rsidRPr="002B4212">
        <w:rPr>
          <w:bCs/>
        </w:rPr>
        <w:t>, τον Ιού</w:t>
      </w:r>
      <w:r>
        <w:rPr>
          <w:bCs/>
        </w:rPr>
        <w:t>ν</w:t>
      </w:r>
      <w:r w:rsidRPr="002B4212">
        <w:rPr>
          <w:bCs/>
        </w:rPr>
        <w:t>ιο του 20</w:t>
      </w:r>
      <w:r>
        <w:rPr>
          <w:bCs/>
        </w:rPr>
        <w:t>20</w:t>
      </w:r>
      <w:r w:rsidRPr="002B4212">
        <w:rPr>
          <w:bCs/>
        </w:rPr>
        <w:t xml:space="preserve"> πραγματοποιήθηκε κοινοπρακτική έκδοση </w:t>
      </w:r>
      <w:r>
        <w:rPr>
          <w:bCs/>
        </w:rPr>
        <w:t>δεκ</w:t>
      </w:r>
      <w:r w:rsidRPr="002B4212">
        <w:rPr>
          <w:bCs/>
        </w:rPr>
        <w:t xml:space="preserve">αετούς ομολόγου ύψους </w:t>
      </w:r>
      <w:r>
        <w:rPr>
          <w:bCs/>
        </w:rPr>
        <w:t>3</w:t>
      </w:r>
      <w:r w:rsidRPr="002B4212">
        <w:rPr>
          <w:bCs/>
        </w:rPr>
        <w:t>.</w:t>
      </w:r>
      <w:r>
        <w:rPr>
          <w:bCs/>
        </w:rPr>
        <w:t>0</w:t>
      </w:r>
      <w:r w:rsidRPr="002B4212">
        <w:rPr>
          <w:bCs/>
        </w:rPr>
        <w:t>00 εκατ. ευρώ με σταθερό επιτόκιο 1,5%</w:t>
      </w:r>
      <w:r>
        <w:rPr>
          <w:bCs/>
        </w:rPr>
        <w:t xml:space="preserve">, ενώ ακολούθησε κοινοπρακτική επανέκδοση του ίδιου ομολόγου τον Σεπτέμβριο του 2020 </w:t>
      </w:r>
      <w:r w:rsidRPr="00401A63">
        <w:rPr>
          <w:bCs/>
        </w:rPr>
        <w:t xml:space="preserve">ύψους 2.500 εκατ. ευρώ με </w:t>
      </w:r>
      <w:r>
        <w:rPr>
          <w:bCs/>
        </w:rPr>
        <w:t>απόδοση</w:t>
      </w:r>
      <w:r w:rsidRPr="00401A63">
        <w:rPr>
          <w:bCs/>
        </w:rPr>
        <w:t xml:space="preserve"> 1,</w:t>
      </w:r>
      <w:r>
        <w:rPr>
          <w:bCs/>
        </w:rPr>
        <w:t>187</w:t>
      </w:r>
      <w:r w:rsidRPr="00401A63">
        <w:rPr>
          <w:bCs/>
        </w:rPr>
        <w:t>%</w:t>
      </w:r>
      <w:r w:rsidRPr="002B4212">
        <w:rPr>
          <w:bCs/>
        </w:rPr>
        <w:t>.</w:t>
      </w:r>
      <w:r w:rsidRPr="0053241C">
        <w:rPr>
          <w:bCs/>
        </w:rPr>
        <w:t xml:space="preserve"> </w:t>
      </w:r>
    </w:p>
    <w:p w:rsidR="00E16D22" w:rsidRPr="00050885" w:rsidRDefault="00E16D22" w:rsidP="00E16D22">
      <w:pPr>
        <w:jc w:val="both"/>
        <w:rPr>
          <w:bCs/>
          <w:highlight w:val="lightGray"/>
        </w:rPr>
      </w:pPr>
    </w:p>
    <w:p w:rsidR="00E16D22" w:rsidRPr="00F5330F" w:rsidRDefault="00E16D22" w:rsidP="00E16D22">
      <w:pPr>
        <w:jc w:val="both"/>
        <w:rPr>
          <w:bCs/>
        </w:rPr>
      </w:pPr>
      <w:r w:rsidRPr="0053241C">
        <w:rPr>
          <w:bCs/>
        </w:rPr>
        <w:t xml:space="preserve">Κατά τη διάρκεια του έτους το Ελληνικό Δημόσιο συνέχισε να εκδίδει τίτλους βραχυπρόθεσμης διάρκειας. Η βραχυπρόθεσμη χρηματοδότηση πραγματοποιήθηκε με μηνιαίες εκδόσεις εντόκων γραμματίων διάρκειας 13 και 26 εβδομάδων και τριμηνιαίες 52 εβδομάδων, καθώς επίσης και σύναψη συμφωνιών </w:t>
      </w:r>
      <w:r w:rsidRPr="0053241C">
        <w:rPr>
          <w:bCs/>
          <w:lang w:val="en-US"/>
        </w:rPr>
        <w:t>repos</w:t>
      </w:r>
      <w:r w:rsidRPr="0053241C">
        <w:rPr>
          <w:bCs/>
        </w:rPr>
        <w:t xml:space="preserve"> κυρίως με τους φορείς της Γενικής Κυβέρνησης. Στις 31/08/20</w:t>
      </w:r>
      <w:r w:rsidRPr="00E648A7">
        <w:rPr>
          <w:bCs/>
        </w:rPr>
        <w:t>20</w:t>
      </w:r>
      <w:r w:rsidRPr="0053241C">
        <w:rPr>
          <w:bCs/>
        </w:rPr>
        <w:t xml:space="preserve"> το ανεξόφλητο υπόλοιπο των ΕΓΕΔ ανερχόταν </w:t>
      </w:r>
      <w:r w:rsidRPr="00B63ED2">
        <w:rPr>
          <w:bCs/>
        </w:rPr>
        <w:t>σε 1</w:t>
      </w:r>
      <w:r w:rsidRPr="00E648A7">
        <w:rPr>
          <w:bCs/>
        </w:rPr>
        <w:t>3</w:t>
      </w:r>
      <w:r w:rsidRPr="00B63ED2">
        <w:rPr>
          <w:bCs/>
        </w:rPr>
        <w:t>.</w:t>
      </w:r>
      <w:r w:rsidRPr="00E648A7">
        <w:rPr>
          <w:bCs/>
        </w:rPr>
        <w:t>004</w:t>
      </w:r>
      <w:r w:rsidRPr="00B63ED2">
        <w:rPr>
          <w:bCs/>
        </w:rPr>
        <w:t>,</w:t>
      </w:r>
      <w:r w:rsidRPr="00E648A7">
        <w:rPr>
          <w:bCs/>
        </w:rPr>
        <w:t>3</w:t>
      </w:r>
      <w:r w:rsidRPr="00B63ED2">
        <w:rPr>
          <w:bCs/>
        </w:rPr>
        <w:t>5 εκατ</w:t>
      </w:r>
      <w:r w:rsidRPr="0053241C">
        <w:rPr>
          <w:bCs/>
        </w:rPr>
        <w:t xml:space="preserve">. ευρώ, ενώ τα </w:t>
      </w:r>
      <w:r w:rsidRPr="0053241C">
        <w:rPr>
          <w:bCs/>
          <w:lang w:val="en-US"/>
        </w:rPr>
        <w:t>repos</w:t>
      </w:r>
      <w:r w:rsidRPr="0053241C">
        <w:rPr>
          <w:bCs/>
        </w:rPr>
        <w:t xml:space="preserve"> ανήλθαν σε </w:t>
      </w:r>
      <w:r w:rsidRPr="00E648A7">
        <w:rPr>
          <w:bCs/>
        </w:rPr>
        <w:t>31</w:t>
      </w:r>
      <w:r w:rsidRPr="003A5DBA">
        <w:rPr>
          <w:bCs/>
        </w:rPr>
        <w:t>.</w:t>
      </w:r>
      <w:r w:rsidRPr="00E648A7">
        <w:rPr>
          <w:bCs/>
        </w:rPr>
        <w:t>266</w:t>
      </w:r>
      <w:r w:rsidRPr="003A5DBA">
        <w:rPr>
          <w:bCs/>
        </w:rPr>
        <w:t>,</w:t>
      </w:r>
      <w:r w:rsidRPr="00E648A7">
        <w:rPr>
          <w:bCs/>
        </w:rPr>
        <w:t>86</w:t>
      </w:r>
      <w:r w:rsidRPr="003A5DBA">
        <w:rPr>
          <w:bCs/>
        </w:rPr>
        <w:t xml:space="preserve"> εκατ.</w:t>
      </w:r>
      <w:r w:rsidRPr="0053241C">
        <w:rPr>
          <w:bCs/>
        </w:rPr>
        <w:t xml:space="preserve"> ευρώ.</w:t>
      </w:r>
    </w:p>
    <w:p w:rsidR="00E16D22" w:rsidRPr="009761DC" w:rsidRDefault="00E16D22" w:rsidP="00E16D22">
      <w:pPr>
        <w:jc w:val="both"/>
        <w:rPr>
          <w:bCs/>
        </w:rPr>
      </w:pPr>
      <w:r w:rsidRPr="00F5330F">
        <w:rPr>
          <w:bCs/>
        </w:rPr>
        <w:t xml:space="preserve"> </w:t>
      </w:r>
    </w:p>
    <w:p w:rsidR="00E16D22" w:rsidRPr="00F5330F" w:rsidRDefault="00E16D22" w:rsidP="00E16D22">
      <w:pPr>
        <w:keepNext/>
        <w:jc w:val="both"/>
        <w:outlineLvl w:val="3"/>
        <w:rPr>
          <w:rFonts w:ascii="Arial Narrow" w:hAnsi="Arial Narrow"/>
          <w:b/>
          <w:color w:val="000080"/>
          <w:szCs w:val="22"/>
        </w:rPr>
      </w:pPr>
      <w:r w:rsidRPr="00F5330F">
        <w:rPr>
          <w:rFonts w:ascii="Arial Narrow" w:hAnsi="Arial Narrow"/>
          <w:b/>
          <w:color w:val="000080"/>
          <w:szCs w:val="22"/>
        </w:rPr>
        <w:t>Δευτερογενής αγορά τίτλων</w:t>
      </w:r>
    </w:p>
    <w:p w:rsidR="00E16D22" w:rsidRPr="00F5330F" w:rsidRDefault="00E16D22" w:rsidP="00E16D22">
      <w:pPr>
        <w:jc w:val="both"/>
        <w:rPr>
          <w:b/>
          <w:bCs/>
        </w:rPr>
      </w:pPr>
    </w:p>
    <w:p w:rsidR="00E16D22" w:rsidRPr="00050885" w:rsidRDefault="00E16D22" w:rsidP="00E16D22">
      <w:pPr>
        <w:jc w:val="both"/>
        <w:rPr>
          <w:bCs/>
          <w:highlight w:val="lightGray"/>
        </w:rPr>
      </w:pPr>
      <w:r w:rsidRPr="006D1CD4">
        <w:rPr>
          <w:bCs/>
        </w:rPr>
        <w:t xml:space="preserve">Η συνολική αξία των συναλλαγών που καταγράφηκε στο Σύστημα Άυλων Τίτλων της Τράπεζας της Ελλάδος, η οποία περιλαμβάνει τις αγοραπωλησίες τίτλων και τις συμφωνίες επαναγοράς στην </w:t>
      </w:r>
      <w:proofErr w:type="spellStart"/>
      <w:r w:rsidRPr="006D1CD4">
        <w:rPr>
          <w:bCs/>
        </w:rPr>
        <w:t>εξωχρηματιστηριακή</w:t>
      </w:r>
      <w:proofErr w:type="spellEnd"/>
      <w:r w:rsidRPr="006D1CD4">
        <w:rPr>
          <w:bCs/>
        </w:rPr>
        <w:t xml:space="preserve"> αγορά (</w:t>
      </w:r>
      <w:proofErr w:type="spellStart"/>
      <w:r w:rsidRPr="006D1CD4">
        <w:rPr>
          <w:bCs/>
        </w:rPr>
        <w:t>over</w:t>
      </w:r>
      <w:proofErr w:type="spellEnd"/>
      <w:r w:rsidRPr="006D1CD4">
        <w:rPr>
          <w:bCs/>
        </w:rPr>
        <w:t>-the-</w:t>
      </w:r>
      <w:proofErr w:type="spellStart"/>
      <w:r w:rsidRPr="006D1CD4">
        <w:rPr>
          <w:bCs/>
        </w:rPr>
        <w:t>counter</w:t>
      </w:r>
      <w:proofErr w:type="spellEnd"/>
      <w:r w:rsidRPr="006D1CD4">
        <w:rPr>
          <w:bCs/>
        </w:rPr>
        <w:t xml:space="preserve">) και τις ηλεκτρονικές πλατφόρμες διαπραγμάτευσης, διαμορφώθηκε σε 123,64 </w:t>
      </w:r>
      <w:r w:rsidR="008F24A5">
        <w:rPr>
          <w:bCs/>
        </w:rPr>
        <w:t>δισ.</w:t>
      </w:r>
      <w:r w:rsidRPr="006D1CD4">
        <w:rPr>
          <w:bCs/>
        </w:rPr>
        <w:t xml:space="preserve"> ευρώ το β’ τρίμηνο του 2020 έναντι 134,04 </w:t>
      </w:r>
      <w:r w:rsidR="008F24A5">
        <w:rPr>
          <w:bCs/>
        </w:rPr>
        <w:t>δισ.</w:t>
      </w:r>
      <w:r w:rsidRPr="006D1CD4">
        <w:rPr>
          <w:bCs/>
        </w:rPr>
        <w:t xml:space="preserve"> ευρώ το α’ τρίμηνο του 2020, ενώ το β’ τρίμηνο του 2019 είχε διαμορφωθεί σε </w:t>
      </w:r>
      <w:r w:rsidRPr="00BE7991">
        <w:rPr>
          <w:bCs/>
        </w:rPr>
        <w:t>93</w:t>
      </w:r>
      <w:r w:rsidRPr="006D1CD4">
        <w:rPr>
          <w:bCs/>
        </w:rPr>
        <w:t>,</w:t>
      </w:r>
      <w:r w:rsidRPr="00BE7991">
        <w:rPr>
          <w:bCs/>
        </w:rPr>
        <w:t>88</w:t>
      </w:r>
      <w:r w:rsidRPr="006D1CD4">
        <w:rPr>
          <w:bCs/>
        </w:rPr>
        <w:t xml:space="preserve"> δισ. ευρώ.</w:t>
      </w:r>
      <w:r w:rsidRPr="00050885">
        <w:rPr>
          <w:bCs/>
          <w:highlight w:val="lightGray"/>
        </w:rPr>
        <w:t xml:space="preserve"> </w:t>
      </w:r>
    </w:p>
    <w:p w:rsidR="00E16D22" w:rsidRPr="00050885" w:rsidRDefault="00E16D22" w:rsidP="00E16D22">
      <w:pPr>
        <w:jc w:val="both"/>
        <w:rPr>
          <w:bCs/>
          <w:highlight w:val="lightGray"/>
        </w:rPr>
      </w:pPr>
    </w:p>
    <w:p w:rsidR="00E16D22" w:rsidRPr="00332059" w:rsidRDefault="00E16D22" w:rsidP="00E16D22">
      <w:pPr>
        <w:jc w:val="both"/>
        <w:rPr>
          <w:bCs/>
        </w:rPr>
      </w:pPr>
      <w:r w:rsidRPr="00332059">
        <w:rPr>
          <w:bCs/>
        </w:rPr>
        <w:t>Κατά το δεύτερο τρίμηνο του 2020, το 14,1% της συναλλακτικής δραστηριότητας στην Ηλεκτρονική Δευτερογενή Αγορά Τίτλων (ΗΔΑΤ) επικεντρώθηκε στους τίτλους με διάρκεια έως 5 έτη, το 54,8% στους τίτλους με διάρκεια από 5 έως 10 έτη και το 31,1% σε τίτλους με διάρκεια από 10 έως 30 έτη.</w:t>
      </w:r>
    </w:p>
    <w:p w:rsidR="00E16D22" w:rsidRPr="00050885" w:rsidRDefault="00E16D22" w:rsidP="00E16D22">
      <w:pPr>
        <w:jc w:val="both"/>
        <w:rPr>
          <w:bCs/>
          <w:highlight w:val="lightGray"/>
        </w:rPr>
      </w:pPr>
    </w:p>
    <w:p w:rsidR="00E16D22" w:rsidRPr="00F5330F" w:rsidRDefault="00E16D22" w:rsidP="00E16D22">
      <w:pPr>
        <w:jc w:val="both"/>
        <w:rPr>
          <w:bCs/>
        </w:rPr>
      </w:pPr>
      <w:r w:rsidRPr="00121481">
        <w:rPr>
          <w:bCs/>
        </w:rPr>
        <w:t>Η σύνθεση της ομάδας των βασικών διαπραγματευτών αγοράς κατά το τρέχον έτος αποτελείται από 4 Ελληνικά και 16 διεθνή πιστωτικά ιδρύματα.</w:t>
      </w:r>
    </w:p>
    <w:p w:rsidR="00E16D22" w:rsidRDefault="00E16D22" w:rsidP="00E16D22">
      <w:pPr>
        <w:jc w:val="both"/>
        <w:rPr>
          <w:bCs/>
        </w:rPr>
      </w:pPr>
      <w:r w:rsidRPr="00F5330F">
        <w:rPr>
          <w:bCs/>
        </w:rPr>
        <w:t xml:space="preserve"> </w:t>
      </w:r>
    </w:p>
    <w:p w:rsidR="00E16D22" w:rsidRDefault="00E16D22" w:rsidP="00E16D22">
      <w:pPr>
        <w:jc w:val="both"/>
        <w:rPr>
          <w:bCs/>
        </w:rPr>
      </w:pPr>
    </w:p>
    <w:p w:rsidR="00E16D22" w:rsidRDefault="00E16D22" w:rsidP="00E16D22">
      <w:pPr>
        <w:jc w:val="both"/>
        <w:rPr>
          <w:bCs/>
        </w:rPr>
      </w:pPr>
    </w:p>
    <w:p w:rsidR="00E16D22" w:rsidRPr="00F5330F" w:rsidRDefault="00E16D22" w:rsidP="00E16D22">
      <w:pPr>
        <w:jc w:val="both"/>
        <w:rPr>
          <w:bCs/>
        </w:rPr>
      </w:pPr>
    </w:p>
    <w:p w:rsidR="00E16D22" w:rsidRPr="00F5330F" w:rsidRDefault="00E16D22" w:rsidP="00E16D22">
      <w:pPr>
        <w:jc w:val="both"/>
      </w:pPr>
    </w:p>
    <w:p w:rsidR="003E7B61" w:rsidRPr="00A74997" w:rsidRDefault="003E7B61" w:rsidP="003E7B61">
      <w:pPr>
        <w:shd w:val="clear" w:color="auto" w:fill="BFBFBF"/>
        <w:tabs>
          <w:tab w:val="left" w:pos="540"/>
        </w:tabs>
        <w:jc w:val="both"/>
        <w:rPr>
          <w:rFonts w:ascii="Arial Narrow" w:hAnsi="Arial Narrow"/>
          <w:b/>
          <w:bCs/>
          <w:sz w:val="26"/>
          <w:szCs w:val="26"/>
        </w:rPr>
      </w:pPr>
      <w:r w:rsidRPr="00A74997">
        <w:rPr>
          <w:rFonts w:ascii="Arial Narrow" w:hAnsi="Arial Narrow"/>
          <w:b/>
          <w:bCs/>
          <w:sz w:val="26"/>
          <w:szCs w:val="26"/>
        </w:rPr>
        <w:lastRenderedPageBreak/>
        <w:t>4.</w:t>
      </w:r>
      <w:r w:rsidRPr="00A74997">
        <w:rPr>
          <w:rFonts w:ascii="Arial Narrow" w:hAnsi="Arial Narrow"/>
          <w:b/>
          <w:bCs/>
          <w:sz w:val="26"/>
          <w:szCs w:val="26"/>
        </w:rPr>
        <w:tab/>
        <w:t>Βασικές κατευθύνσεις δανεισμού και δ</w:t>
      </w:r>
      <w:r w:rsidR="00E16D22">
        <w:rPr>
          <w:rFonts w:ascii="Arial Narrow" w:hAnsi="Arial Narrow"/>
          <w:b/>
          <w:bCs/>
          <w:sz w:val="26"/>
          <w:szCs w:val="26"/>
        </w:rPr>
        <w:t>ιαχειριστικών στόχων για το 2021</w:t>
      </w:r>
    </w:p>
    <w:p w:rsidR="00D668F2" w:rsidRPr="003C175B" w:rsidRDefault="00D668F2" w:rsidP="00D668F2">
      <w:pPr>
        <w:jc w:val="both"/>
      </w:pPr>
    </w:p>
    <w:p w:rsidR="00D668F2" w:rsidRPr="003C175B" w:rsidRDefault="00D668F2" w:rsidP="00D668F2">
      <w:pPr>
        <w:jc w:val="both"/>
      </w:pPr>
      <w:r w:rsidRPr="003C175B">
        <w:t xml:space="preserve">Κατά το έτος 2020, παρά την έλευση της πανδημίας </w:t>
      </w:r>
      <w:r>
        <w:t xml:space="preserve">του </w:t>
      </w:r>
      <w:proofErr w:type="spellStart"/>
      <w:r w:rsidRPr="003C175B">
        <w:rPr>
          <w:lang w:val="en-US"/>
        </w:rPr>
        <w:t>C</w:t>
      </w:r>
      <w:r>
        <w:rPr>
          <w:lang w:val="en-US"/>
        </w:rPr>
        <w:t>ovid</w:t>
      </w:r>
      <w:proofErr w:type="spellEnd"/>
      <w:r w:rsidR="00D97D78">
        <w:t>-</w:t>
      </w:r>
      <w:r w:rsidRPr="003C175B">
        <w:t>19 και τ</w:t>
      </w:r>
      <w:r w:rsidR="00FE299F">
        <w:t>ις</w:t>
      </w:r>
      <w:r w:rsidRPr="003C175B">
        <w:t xml:space="preserve"> αυξημέν</w:t>
      </w:r>
      <w:r w:rsidR="00FE299F">
        <w:t>ες</w:t>
      </w:r>
      <w:r w:rsidRPr="003C175B">
        <w:t xml:space="preserve"> χρηματοδοτικ</w:t>
      </w:r>
      <w:r w:rsidR="00FE299F">
        <w:t>ές</w:t>
      </w:r>
      <w:r w:rsidRPr="003C175B">
        <w:t xml:space="preserve"> αν</w:t>
      </w:r>
      <w:r w:rsidR="00FE299F">
        <w:t>ά</w:t>
      </w:r>
      <w:r w:rsidRPr="003C175B">
        <w:t>γκ</w:t>
      </w:r>
      <w:r w:rsidR="00FE299F">
        <w:t>ες</w:t>
      </w:r>
      <w:r w:rsidRPr="003C175B">
        <w:t xml:space="preserve"> παγκοσμίως, για το ΕΔ συνεχίστηκε η διατήρηση, η αξιοποίηση και η βέλτιστη διαχείριση του συνόλου των κρατικών ταμειακών διαθεσίμων, διασφαλίζοντας ταυτόχρονα αντίστοιχο όφελος ως προς το δημοσιονομικό αποτέλεσμα της Γενικής Κυβέρνησης, με σωρευτικά θετικές επιπτώσεις για τη βιωσιμότητα του δημοσίου χρέους. </w:t>
      </w:r>
    </w:p>
    <w:p w:rsidR="00D668F2" w:rsidRPr="003C175B" w:rsidRDefault="00D668F2" w:rsidP="00D668F2">
      <w:pPr>
        <w:jc w:val="both"/>
      </w:pPr>
    </w:p>
    <w:p w:rsidR="00D668F2" w:rsidRPr="003C175B" w:rsidRDefault="00D668F2" w:rsidP="00D668F2">
      <w:pPr>
        <w:jc w:val="both"/>
      </w:pPr>
      <w:r w:rsidRPr="003C175B">
        <w:t>Η βραχυπρόθεσμη χρηματοδότηση του Ελληνικού Δημοσίου για όλο το έτος 2020 συνεχίστηκε να υλοποιείται και μέσω εκδόσεων εντόκων γραμματίων, διάρκειας 13, 26 και 52 εβδομάδων, εξασφαλίζοντας συνεχή εκδοτική παρουσία σε όλο το βραχυχρόνιο τμήμα της καμπύλης αποδόσεων, διατηρώντας στα ίδια επίπεδα τη μέση σταθμική ωρίμανση του βραχυχρόνιου δανεισμού καθώς και τους δείκτες κινδύνου αναχρηματοδότησης.</w:t>
      </w:r>
    </w:p>
    <w:p w:rsidR="00D668F2" w:rsidRPr="003C175B" w:rsidRDefault="00D668F2" w:rsidP="00D668F2">
      <w:pPr>
        <w:jc w:val="both"/>
      </w:pPr>
    </w:p>
    <w:p w:rsidR="00D668F2" w:rsidRPr="003C175B" w:rsidRDefault="00D668F2" w:rsidP="00D668F2">
      <w:pPr>
        <w:jc w:val="both"/>
      </w:pPr>
      <w:r w:rsidRPr="003C175B">
        <w:t xml:space="preserve">Το σύνολο των μικτών χρηματοδοτικών αναγκών του Ελληνικού Δημοσίου για το 2020, που προέκυψαν επιπροσθέτως λόγω των οικονομικών της πανδημίας, καλύφθηκε κυρίως από κοινοπρακτικές εκδόσεις ομολόγων σταθερού επιτοκίου, δεκαπενταετούς, επταετούς και δεκαετούς διάρκειας, συνολικού ύψους 10.000 εκατ. ευρώ, υλοποιώντας κατά το μάλιστα το εγκεκριμένο δανειακό πρόγραμμα του έτους, καλύπτοντας συγχρόνως τα κενά </w:t>
      </w:r>
      <w:proofErr w:type="spellStart"/>
      <w:r w:rsidRPr="003C175B">
        <w:t>ληκτότητας</w:t>
      </w:r>
      <w:proofErr w:type="spellEnd"/>
      <w:r w:rsidRPr="003C175B">
        <w:t xml:space="preserve"> της καμπύλης αποδόσεων, με επαρκούς ρευστότητας ομολογιακές εκδόσεις αναφοράς (</w:t>
      </w:r>
      <w:proofErr w:type="spellStart"/>
      <w:r w:rsidRPr="003C175B">
        <w:t>benchmark</w:t>
      </w:r>
      <w:proofErr w:type="spellEnd"/>
      <w:r w:rsidRPr="003C175B">
        <w:t xml:space="preserve"> </w:t>
      </w:r>
      <w:proofErr w:type="spellStart"/>
      <w:r w:rsidRPr="003C175B">
        <w:t>issues</w:t>
      </w:r>
      <w:proofErr w:type="spellEnd"/>
      <w:r w:rsidRPr="003C175B">
        <w:t>), βελτιώνοντας εξαιρετικά τους όγκους συναλλαγών της δευτερογενούς αγοράς ελληνικών κρατικών χρεογράφων, φτάνοντας σε υψηλά 10-ετίας, διασφαλίζοντας έτσι την περαιτέρω μείωση  των περιθωρίων (</w:t>
      </w:r>
      <w:proofErr w:type="spellStart"/>
      <w:r w:rsidRPr="003C175B">
        <w:t>spreads</w:t>
      </w:r>
      <w:proofErr w:type="spellEnd"/>
      <w:r w:rsidRPr="003C175B">
        <w:t xml:space="preserve">) δανεισμού του ΕΔ.  </w:t>
      </w:r>
    </w:p>
    <w:p w:rsidR="00D668F2" w:rsidRPr="003C175B" w:rsidRDefault="00D668F2" w:rsidP="00D668F2">
      <w:pPr>
        <w:jc w:val="both"/>
      </w:pPr>
    </w:p>
    <w:p w:rsidR="00D668F2" w:rsidRPr="003C175B" w:rsidRDefault="00D668F2" w:rsidP="00D668F2">
      <w:pPr>
        <w:jc w:val="both"/>
      </w:pPr>
      <w:r w:rsidRPr="003C175B">
        <w:t xml:space="preserve">Δεδομένων των υψηλών ταμειακών διαθεσίμων του ΕΔ, των αναμενομένων αυξημένων εκταμιεύσεων προς το ΕΔ από τα διάφορα σχήματα που έχουν ήδη αποφασισθεί σε ευρωπαϊκό επίπεδο για την αντιμετώπιση της πανδημίας, καθώς και των σχετικά περιορισμένων χρηματοδοτικών αναγκών του για το έτος 2021, η δανειακή στρατηγική για το επόμενο έτος αναμένεται να είναι παρόμοια με αυτή του 2020. Συγκεκριμένα, η στόχευση της δανειακής στρατηγικής θα είναι η διασφάλιση της συνεχούς εκδοτικής παρουσίας του ΕΔ στις διεθνείς αγορές κεφαλαίων σε συνδυασμό με την αξιοποίηση των ευκαιριών που παρέχονται από τη συμμετοχή της χώρας στο </w:t>
      </w:r>
      <w:r w:rsidRPr="003C175B">
        <w:rPr>
          <w:lang w:val="en-US"/>
        </w:rPr>
        <w:t>PEPP</w:t>
      </w:r>
      <w:r w:rsidRPr="003C175B">
        <w:t>, η περαιτέρω παροχή εκδόσεων υψηλής ρευστότητας με επέκταση της φυσικής ωρίμαν</w:t>
      </w:r>
      <w:r>
        <w:t>σή</w:t>
      </w:r>
      <w:r w:rsidRPr="003C175B">
        <w:t xml:space="preserve">ς τους, η περαιτέρω μείωση των περιθωρίων δανεισμού του ΕΔ, καθώς και η περαιτέρω διασφάλιση της συνέπειας του ΕΔ ως κρατικού εκδότη με χαρακτηριστικά χώρας της ευρωζώνης. </w:t>
      </w:r>
    </w:p>
    <w:p w:rsidR="00D668F2" w:rsidRPr="003C175B" w:rsidRDefault="00D668F2" w:rsidP="00D668F2">
      <w:pPr>
        <w:jc w:val="both"/>
      </w:pPr>
    </w:p>
    <w:p w:rsidR="00D668F2" w:rsidRPr="003C175B" w:rsidRDefault="00D668F2" w:rsidP="00D668F2">
      <w:pPr>
        <w:jc w:val="both"/>
      </w:pPr>
      <w:r w:rsidRPr="003C175B">
        <w:t xml:space="preserve">Για την επίτευξη των παραπάνω στόχων, θα επιδιωχθεί, στο πλαίσιο λειτουργίας της πρωτογενούς αγοράς, πλέον της εκδοτικής δραστηριότητας, να εφαρμοστεί πολιτική διαχείρισης χαρτοφυλακίου μέσω της οποίας θα διασφαλίζεται ο αναγκαίος χώρος για τη συνεχή παρουσία του ΕΔ στις αγορές, η περαιτέρω μείωση του κινδύνου αναχρηματοδότησης, η παροχή της αναγκαίας ρευστότητας και η βελτίωση της λειτουργίας της δευτερογενούς αγοράς των ελληνικών ομολόγων, με ταυτόχρονη αξιοποίηση της εκάστοτε κλίσης της ελληνικής καμπύλης αποδόσεων για τη διασφάλιση βέλτιστου αποτελέσματος αναφορικά με το κόστος δανεισμού. </w:t>
      </w:r>
    </w:p>
    <w:p w:rsidR="00D668F2" w:rsidRPr="003C175B" w:rsidRDefault="00D668F2" w:rsidP="00D668F2">
      <w:pPr>
        <w:jc w:val="both"/>
      </w:pPr>
    </w:p>
    <w:p w:rsidR="00D668F2" w:rsidRPr="00F5330F" w:rsidRDefault="00D668F2" w:rsidP="00D668F2">
      <w:pPr>
        <w:jc w:val="both"/>
      </w:pPr>
      <w:r w:rsidRPr="003C175B">
        <w:t>Κατά το επόμενο έτος, θα διατηρηθούν οι βασικοί μεσοπρόθεσμοι στόχοι διαχείρισης του χαρτοφυλακίου δημοσίου χρέους, όπως είναι η διατήρηση του συναλλαγματικού κινδύνου στα σημερινά ελάχιστα επίπεδα για τα δάνεια εκτός ευρώ και η διατήρηση της υφιστάμενης αναλογίας χρέους σταθερού επιτοκίου στο σύνολο του χαρτοφυλακίου.</w:t>
      </w:r>
    </w:p>
    <w:p w:rsidR="003E7B61" w:rsidRPr="00A74997" w:rsidRDefault="003E7B61" w:rsidP="00D668F2">
      <w:pPr>
        <w:jc w:val="both"/>
        <w:rPr>
          <w:szCs w:val="22"/>
        </w:rPr>
      </w:pPr>
    </w:p>
    <w:sectPr w:rsidR="003E7B61" w:rsidRPr="00A74997" w:rsidSect="000048CD">
      <w:headerReference w:type="even" r:id="rId23"/>
      <w:headerReference w:type="default" r:id="rId24"/>
      <w:footerReference w:type="even" r:id="rId25"/>
      <w:footerReference w:type="default" r:id="rId26"/>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885" w:rsidRDefault="00050885">
      <w:r>
        <w:separator/>
      </w:r>
    </w:p>
  </w:endnote>
  <w:endnote w:type="continuationSeparator" w:id="0">
    <w:p w:rsidR="00050885" w:rsidRDefault="0005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Pr="00E643AA" w:rsidRDefault="0084795D">
    <w:pPr>
      <w:pStyle w:val="Footer"/>
      <w:jc w:val="both"/>
      <w:rPr>
        <w:color w:val="333333"/>
        <w:lang w:val="en-US"/>
      </w:rPr>
    </w:pPr>
    <w:r>
      <w:rPr>
        <w:rStyle w:val="PageNumber"/>
        <w:b/>
        <w:sz w:val="28"/>
      </w:rPr>
      <w:fldChar w:fldCharType="begin"/>
    </w:r>
    <w:r w:rsidR="00B22BE5">
      <w:rPr>
        <w:rStyle w:val="PageNumber"/>
        <w:b/>
        <w:sz w:val="28"/>
      </w:rPr>
      <w:instrText xml:space="preserve"> PAGE </w:instrText>
    </w:r>
    <w:r>
      <w:rPr>
        <w:rStyle w:val="PageNumber"/>
        <w:b/>
        <w:sz w:val="28"/>
      </w:rPr>
      <w:fldChar w:fldCharType="separate"/>
    </w:r>
    <w:r w:rsidR="00CD721B">
      <w:rPr>
        <w:rStyle w:val="PageNumber"/>
        <w:b/>
        <w:noProof/>
        <w:sz w:val="28"/>
      </w:rPr>
      <w:t>24</w:t>
    </w:r>
    <w:r>
      <w:rPr>
        <w:rStyle w:val="PageNumber"/>
        <w:b/>
        <w:sz w:val="28"/>
      </w:rPr>
      <w:fldChar w:fldCharType="end"/>
    </w:r>
    <w:r w:rsidR="00B22BE5">
      <w:rPr>
        <w:rStyle w:val="PageNumber"/>
        <w:b/>
        <w:sz w:val="28"/>
      </w:rPr>
      <w:t xml:space="preserve">    </w:t>
    </w:r>
    <w:r w:rsidR="00B22BE5">
      <w:rPr>
        <w:rFonts w:ascii="Arial Narrow" w:hAnsi="Arial Narrow"/>
        <w:color w:val="333333"/>
        <w:sz w:val="22"/>
      </w:rPr>
      <w:t>ΚΡΑΤΙΚΟΣ ΠΡΟΫΠΟΛΟΓΙΣΜΟΣ 202</w:t>
    </w:r>
    <w:r w:rsidR="00B22BE5">
      <w:rPr>
        <w:rFonts w:ascii="Arial Narrow" w:hAnsi="Arial Narrow"/>
        <w:color w:val="333333"/>
        <w:sz w:val="22"/>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Pr="00D172EF" w:rsidRDefault="00B22BE5" w:rsidP="00522B02">
    <w:pPr>
      <w:pStyle w:val="Footer"/>
      <w:jc w:val="right"/>
    </w:pPr>
    <w:r>
      <w:rPr>
        <w:rFonts w:ascii="Arial Narrow" w:hAnsi="Arial Narrow"/>
        <w:color w:val="333333"/>
        <w:sz w:val="22"/>
      </w:rPr>
      <w:t>ΚΡΑΤΙΚΟΣ ΠΡΟΫΠΟΛΟΓΙΣΜΟΣ 202</w:t>
    </w:r>
    <w:r>
      <w:rPr>
        <w:rFonts w:ascii="Arial Narrow" w:hAnsi="Arial Narrow"/>
        <w:color w:val="333333"/>
        <w:sz w:val="22"/>
        <w:lang w:val="en-US"/>
      </w:rPr>
      <w:t>1</w:t>
    </w:r>
    <w:r>
      <w:rPr>
        <w:rFonts w:ascii="Arial Narrow" w:hAnsi="Arial Narrow"/>
        <w:color w:val="333333"/>
        <w:sz w:val="22"/>
      </w:rPr>
      <w:t xml:space="preserve">      </w:t>
    </w:r>
    <w:r w:rsidR="0084795D">
      <w:rPr>
        <w:rStyle w:val="PageNumber"/>
        <w:b/>
        <w:sz w:val="28"/>
      </w:rPr>
      <w:fldChar w:fldCharType="begin"/>
    </w:r>
    <w:r>
      <w:rPr>
        <w:rStyle w:val="PageNumber"/>
        <w:b/>
        <w:sz w:val="28"/>
      </w:rPr>
      <w:instrText xml:space="preserve"> PAGE </w:instrText>
    </w:r>
    <w:r w:rsidR="0084795D">
      <w:rPr>
        <w:rStyle w:val="PageNumber"/>
        <w:b/>
        <w:sz w:val="28"/>
      </w:rPr>
      <w:fldChar w:fldCharType="separate"/>
    </w:r>
    <w:r w:rsidR="00CD721B">
      <w:rPr>
        <w:rStyle w:val="PageNumber"/>
        <w:b/>
        <w:noProof/>
        <w:sz w:val="28"/>
      </w:rPr>
      <w:t>23</w:t>
    </w:r>
    <w:r w:rsidR="0084795D">
      <w:rPr>
        <w:rStyle w:val="PageNumber"/>
        <w:b/>
        <w:sz w:val="28"/>
      </w:rPr>
      <w:fldChar w:fldCharType="end"/>
    </w:r>
  </w:p>
  <w:p w:rsidR="00B22BE5" w:rsidRDefault="00B22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Pr="00AD7FEF" w:rsidRDefault="0084795D">
    <w:pPr>
      <w:pStyle w:val="Footer"/>
      <w:jc w:val="both"/>
      <w:rPr>
        <w:color w:val="333333"/>
        <w:lang w:val="en-US"/>
      </w:rPr>
    </w:pPr>
    <w:r>
      <w:rPr>
        <w:rStyle w:val="PageNumber"/>
        <w:b/>
        <w:sz w:val="28"/>
      </w:rPr>
      <w:fldChar w:fldCharType="begin"/>
    </w:r>
    <w:r w:rsidR="00B22BE5">
      <w:rPr>
        <w:rStyle w:val="PageNumber"/>
        <w:b/>
        <w:sz w:val="28"/>
      </w:rPr>
      <w:instrText xml:space="preserve"> PAGE </w:instrText>
    </w:r>
    <w:r>
      <w:rPr>
        <w:rStyle w:val="PageNumber"/>
        <w:b/>
        <w:sz w:val="28"/>
      </w:rPr>
      <w:fldChar w:fldCharType="separate"/>
    </w:r>
    <w:r w:rsidR="00CD721B">
      <w:rPr>
        <w:rStyle w:val="PageNumber"/>
        <w:b/>
        <w:noProof/>
        <w:sz w:val="28"/>
      </w:rPr>
      <w:t>56</w:t>
    </w:r>
    <w:r>
      <w:rPr>
        <w:rStyle w:val="PageNumber"/>
        <w:b/>
        <w:sz w:val="28"/>
      </w:rPr>
      <w:fldChar w:fldCharType="end"/>
    </w:r>
    <w:r w:rsidR="00B22BE5">
      <w:rPr>
        <w:rStyle w:val="PageNumber"/>
        <w:b/>
        <w:sz w:val="28"/>
      </w:rPr>
      <w:t xml:space="preserve">    </w:t>
    </w:r>
    <w:r w:rsidR="00B22BE5">
      <w:rPr>
        <w:rFonts w:ascii="Arial Narrow" w:hAnsi="Arial Narrow"/>
        <w:color w:val="333333"/>
        <w:sz w:val="22"/>
      </w:rPr>
      <w:t>ΚΡΑΤΙΚΟΣ ΠΡΟΫΠΟΛΟΓΙΣΜΟΣ 202</w:t>
    </w:r>
    <w:r w:rsidR="00B22BE5">
      <w:rPr>
        <w:rFonts w:ascii="Arial Narrow" w:hAnsi="Arial Narrow"/>
        <w:color w:val="333333"/>
        <w:sz w:val="22"/>
        <w:lang w:val="en-US"/>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Pr="00D172EF" w:rsidRDefault="00B22BE5" w:rsidP="00522B02">
    <w:pPr>
      <w:pStyle w:val="Footer"/>
      <w:jc w:val="right"/>
    </w:pPr>
    <w:r>
      <w:rPr>
        <w:rFonts w:ascii="Arial Narrow" w:hAnsi="Arial Narrow"/>
        <w:color w:val="333333"/>
        <w:sz w:val="22"/>
      </w:rPr>
      <w:t>ΚΡΑΤΙΚΟΣ ΠΡΟΫΠΟΛΟΓΙΣΜΟΣ 202</w:t>
    </w:r>
    <w:r>
      <w:rPr>
        <w:rFonts w:ascii="Arial Narrow" w:hAnsi="Arial Narrow"/>
        <w:color w:val="333333"/>
        <w:sz w:val="22"/>
        <w:lang w:val="en-US"/>
      </w:rPr>
      <w:t xml:space="preserve">1 </w:t>
    </w:r>
    <w:r>
      <w:rPr>
        <w:rFonts w:ascii="Arial Narrow" w:hAnsi="Arial Narrow"/>
        <w:color w:val="333333"/>
        <w:sz w:val="22"/>
      </w:rPr>
      <w:t xml:space="preserve">     </w:t>
    </w:r>
    <w:r w:rsidR="0084795D">
      <w:rPr>
        <w:rStyle w:val="PageNumber"/>
        <w:b/>
        <w:sz w:val="28"/>
      </w:rPr>
      <w:fldChar w:fldCharType="begin"/>
    </w:r>
    <w:r>
      <w:rPr>
        <w:rStyle w:val="PageNumber"/>
        <w:b/>
        <w:sz w:val="28"/>
      </w:rPr>
      <w:instrText xml:space="preserve"> PAGE </w:instrText>
    </w:r>
    <w:r w:rsidR="0084795D">
      <w:rPr>
        <w:rStyle w:val="PageNumber"/>
        <w:b/>
        <w:sz w:val="28"/>
      </w:rPr>
      <w:fldChar w:fldCharType="separate"/>
    </w:r>
    <w:r w:rsidR="00CD721B">
      <w:rPr>
        <w:rStyle w:val="PageNumber"/>
        <w:b/>
        <w:noProof/>
        <w:sz w:val="28"/>
      </w:rPr>
      <w:t>55</w:t>
    </w:r>
    <w:r w:rsidR="0084795D">
      <w:rPr>
        <w:rStyle w:val="PageNumber"/>
        <w:b/>
        <w:sz w:val="28"/>
      </w:rPr>
      <w:fldChar w:fldCharType="end"/>
    </w:r>
  </w:p>
  <w:p w:rsidR="00B22BE5" w:rsidRDefault="00B22B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Pr="005B07D5" w:rsidRDefault="0084795D">
    <w:pPr>
      <w:pStyle w:val="Footer"/>
      <w:jc w:val="both"/>
      <w:rPr>
        <w:color w:val="333333"/>
        <w:lang w:val="en-US"/>
      </w:rPr>
    </w:pPr>
    <w:r>
      <w:rPr>
        <w:rStyle w:val="PageNumber"/>
        <w:b/>
        <w:sz w:val="28"/>
      </w:rPr>
      <w:fldChar w:fldCharType="begin"/>
    </w:r>
    <w:r w:rsidR="00B22BE5">
      <w:rPr>
        <w:rStyle w:val="PageNumber"/>
        <w:b/>
        <w:sz w:val="28"/>
      </w:rPr>
      <w:instrText xml:space="preserve"> PAGE </w:instrText>
    </w:r>
    <w:r>
      <w:rPr>
        <w:rStyle w:val="PageNumber"/>
        <w:b/>
        <w:sz w:val="28"/>
      </w:rPr>
      <w:fldChar w:fldCharType="separate"/>
    </w:r>
    <w:r w:rsidR="00CD721B">
      <w:rPr>
        <w:rStyle w:val="PageNumber"/>
        <w:b/>
        <w:noProof/>
        <w:sz w:val="28"/>
      </w:rPr>
      <w:t>60</w:t>
    </w:r>
    <w:r>
      <w:rPr>
        <w:rStyle w:val="PageNumber"/>
        <w:b/>
        <w:sz w:val="28"/>
      </w:rPr>
      <w:fldChar w:fldCharType="end"/>
    </w:r>
    <w:r w:rsidR="00B22BE5">
      <w:rPr>
        <w:rStyle w:val="PageNumber"/>
        <w:b/>
        <w:sz w:val="28"/>
      </w:rPr>
      <w:t xml:space="preserve">    </w:t>
    </w:r>
    <w:r w:rsidR="00B22BE5">
      <w:rPr>
        <w:rFonts w:ascii="Arial Narrow" w:hAnsi="Arial Narrow"/>
        <w:color w:val="333333"/>
        <w:sz w:val="22"/>
      </w:rPr>
      <w:t>ΚΡΑΤΙΚΟΣ ΠΡΟΫΠΟΛΟΓΙΣΜΟΣ 202</w:t>
    </w:r>
    <w:r w:rsidR="00B22BE5">
      <w:rPr>
        <w:rFonts w:ascii="Arial Narrow" w:hAnsi="Arial Narrow"/>
        <w:color w:val="333333"/>
        <w:sz w:val="22"/>
        <w:lang w:val="en-US"/>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Pr="00D172EF" w:rsidRDefault="00B22BE5" w:rsidP="00522B02">
    <w:pPr>
      <w:pStyle w:val="Footer"/>
      <w:jc w:val="right"/>
    </w:pPr>
    <w:r>
      <w:rPr>
        <w:rFonts w:ascii="Arial Narrow" w:hAnsi="Arial Narrow"/>
        <w:color w:val="333333"/>
        <w:sz w:val="22"/>
      </w:rPr>
      <w:t>ΚΡΑΤΙΚΟΣ ΠΡΟΫΠΟΛΟΓΙΣΜΟΣ 202</w:t>
    </w:r>
    <w:r>
      <w:rPr>
        <w:rFonts w:ascii="Arial Narrow" w:hAnsi="Arial Narrow"/>
        <w:color w:val="333333"/>
        <w:sz w:val="22"/>
        <w:lang w:val="en-US"/>
      </w:rPr>
      <w:t>1</w:t>
    </w:r>
    <w:r>
      <w:rPr>
        <w:rFonts w:ascii="Arial Narrow" w:hAnsi="Arial Narrow"/>
        <w:color w:val="333333"/>
        <w:sz w:val="22"/>
      </w:rPr>
      <w:t xml:space="preserve">      </w:t>
    </w:r>
    <w:r w:rsidR="0084795D">
      <w:rPr>
        <w:rStyle w:val="PageNumber"/>
        <w:b/>
        <w:sz w:val="28"/>
      </w:rPr>
      <w:fldChar w:fldCharType="begin"/>
    </w:r>
    <w:r>
      <w:rPr>
        <w:rStyle w:val="PageNumber"/>
        <w:b/>
        <w:sz w:val="28"/>
      </w:rPr>
      <w:instrText xml:space="preserve"> PAGE </w:instrText>
    </w:r>
    <w:r w:rsidR="0084795D">
      <w:rPr>
        <w:rStyle w:val="PageNumber"/>
        <w:b/>
        <w:sz w:val="28"/>
      </w:rPr>
      <w:fldChar w:fldCharType="separate"/>
    </w:r>
    <w:r w:rsidR="00CD721B">
      <w:rPr>
        <w:rStyle w:val="PageNumber"/>
        <w:b/>
        <w:noProof/>
        <w:sz w:val="28"/>
      </w:rPr>
      <w:t>61</w:t>
    </w:r>
    <w:r w:rsidR="0084795D">
      <w:rPr>
        <w:rStyle w:val="PageNumber"/>
        <w:b/>
        <w:sz w:val="28"/>
      </w:rPr>
      <w:fldChar w:fldCharType="end"/>
    </w:r>
  </w:p>
  <w:p w:rsidR="00B22BE5" w:rsidRDefault="00B2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885" w:rsidRDefault="00050885">
      <w:r>
        <w:separator/>
      </w:r>
    </w:p>
  </w:footnote>
  <w:footnote w:type="continuationSeparator" w:id="0">
    <w:p w:rsidR="00050885" w:rsidRDefault="00050885">
      <w:r>
        <w:continuationSeparator/>
      </w:r>
    </w:p>
  </w:footnote>
  <w:footnote w:id="1">
    <w:p w:rsidR="00B22BE5" w:rsidRPr="007D29EA" w:rsidRDefault="00B22BE5" w:rsidP="0014792D">
      <w:pPr>
        <w:pStyle w:val="FootnoteText"/>
        <w:tabs>
          <w:tab w:val="left" w:pos="284"/>
        </w:tabs>
        <w:jc w:val="both"/>
        <w:rPr>
          <w:lang w:val="el-GR"/>
        </w:rPr>
      </w:pPr>
      <w:r>
        <w:rPr>
          <w:rStyle w:val="FootnoteReference"/>
        </w:rPr>
        <w:footnoteRef/>
      </w:r>
      <w:r w:rsidRPr="007D29EA">
        <w:rPr>
          <w:lang w:val="el-GR"/>
        </w:rPr>
        <w:tab/>
        <w:t xml:space="preserve">Ενδιάμεσες θερινές οικονομικές προβλέψεις της Ευρωπαϊκής Επιτροπής, Ιούλιος 2020. </w:t>
      </w:r>
    </w:p>
  </w:footnote>
  <w:footnote w:id="2">
    <w:p w:rsidR="00B22BE5" w:rsidRPr="007D29EA" w:rsidRDefault="00B22BE5" w:rsidP="0014792D">
      <w:pPr>
        <w:pStyle w:val="FootnoteText"/>
        <w:tabs>
          <w:tab w:val="left" w:pos="284"/>
        </w:tabs>
        <w:ind w:left="284" w:hanging="284"/>
        <w:jc w:val="both"/>
        <w:rPr>
          <w:lang w:val="el-GR"/>
        </w:rPr>
      </w:pPr>
      <w:r>
        <w:rPr>
          <w:rStyle w:val="FootnoteReference"/>
        </w:rPr>
        <w:footnoteRef/>
      </w:r>
      <w:r w:rsidRPr="0014792D">
        <w:rPr>
          <w:lang w:val="el-GR"/>
        </w:rPr>
        <w:tab/>
      </w:r>
      <w:r w:rsidRPr="007D29EA">
        <w:rPr>
          <w:lang w:val="el-GR"/>
        </w:rPr>
        <w:t>Της τάξης του 8,7%, σε συμβατότητα με την τελευταία εκτίμηση της Ευρωπαϊκής Επιτροπής (Θερινές Οικονομικές Προβλέψεις Ιουλίου 2020).</w:t>
      </w:r>
    </w:p>
  </w:footnote>
  <w:footnote w:id="3">
    <w:p w:rsidR="00B22BE5" w:rsidRPr="007D29EA" w:rsidRDefault="00B22BE5" w:rsidP="0014792D">
      <w:pPr>
        <w:pStyle w:val="FootnoteText"/>
        <w:tabs>
          <w:tab w:val="left" w:pos="284"/>
        </w:tabs>
        <w:ind w:left="284" w:hanging="284"/>
        <w:jc w:val="both"/>
        <w:rPr>
          <w:lang w:val="el-GR"/>
        </w:rPr>
      </w:pPr>
      <w:r>
        <w:rPr>
          <w:rStyle w:val="FootnoteReference"/>
        </w:rPr>
        <w:footnoteRef/>
      </w:r>
      <w:r w:rsidRPr="0014792D">
        <w:rPr>
          <w:lang w:val="el-GR"/>
        </w:rPr>
        <w:tab/>
      </w:r>
      <w:r w:rsidRPr="007D29EA">
        <w:rPr>
          <w:lang w:val="el-GR"/>
        </w:rPr>
        <w:t>Ανακοίνωση της Ελληνικής Στατιστικής Αρχής για το δεύτερο τρίμηνο του 2020 (Σεπτέμβριος 2020).</w:t>
      </w:r>
    </w:p>
  </w:footnote>
  <w:footnote w:id="4">
    <w:p w:rsidR="00B22BE5" w:rsidRPr="007D29EA" w:rsidRDefault="00B22BE5" w:rsidP="0014792D">
      <w:pPr>
        <w:pStyle w:val="FootnoteText"/>
        <w:tabs>
          <w:tab w:val="left" w:pos="284"/>
        </w:tabs>
        <w:ind w:left="284" w:hanging="284"/>
        <w:jc w:val="both"/>
        <w:rPr>
          <w:lang w:val="el-GR"/>
        </w:rPr>
      </w:pPr>
      <w:r>
        <w:rPr>
          <w:rStyle w:val="FootnoteReference"/>
        </w:rPr>
        <w:footnoteRef/>
      </w:r>
      <w:r>
        <w:rPr>
          <w:lang w:val="el-GR"/>
        </w:rPr>
        <w:tab/>
      </w:r>
      <w:r w:rsidRPr="007D29EA">
        <w:rPr>
          <w:lang w:val="el-GR"/>
        </w:rPr>
        <w:t xml:space="preserve">Σύμφωνα με τις τελευταίες προβλέψεις της Ευρωπαϊκής Επιτροπής πριν τον </w:t>
      </w:r>
      <w:r w:rsidRPr="00422922">
        <w:rPr>
          <w:lang w:val="en-US"/>
        </w:rPr>
        <w:t>SARS</w:t>
      </w:r>
      <w:r w:rsidRPr="007D29EA">
        <w:rPr>
          <w:lang w:val="el-GR"/>
        </w:rPr>
        <w:t>-</w:t>
      </w:r>
      <w:r w:rsidRPr="00422922">
        <w:rPr>
          <w:lang w:val="en-US"/>
        </w:rPr>
        <w:t>COV</w:t>
      </w:r>
      <w:r w:rsidRPr="007D29EA">
        <w:rPr>
          <w:lang w:val="el-GR"/>
        </w:rPr>
        <w:t>2 (Χειμερινές Προβλέψεις Φεβρουαρίου 2020), η προς τα πάνω απόκλιση του ρυθμού ανάπτυξης της Ελλάδας έναντι της Ευρωζώνης αναμενόταν το 2020 στις 1,2 ποσοστιαίες μονάδες σε ετήσια βάση. Σύμφωνα με τις εθνικές προβλέψεις, η διαφορά προσέγγιζε τις 1,6 ποσοστιαίες μονάδες.</w:t>
      </w:r>
    </w:p>
  </w:footnote>
  <w:footnote w:id="5">
    <w:p w:rsidR="00B22BE5" w:rsidRPr="007D29EA" w:rsidRDefault="00B22BE5" w:rsidP="0014792D">
      <w:pPr>
        <w:pStyle w:val="FootnoteText"/>
        <w:tabs>
          <w:tab w:val="left" w:pos="284"/>
        </w:tabs>
        <w:ind w:left="284" w:hanging="284"/>
        <w:jc w:val="both"/>
        <w:rPr>
          <w:lang w:val="el-GR"/>
        </w:rPr>
      </w:pPr>
      <w:r>
        <w:rPr>
          <w:rStyle w:val="FootnoteReference"/>
        </w:rPr>
        <w:footnoteRef/>
      </w:r>
      <w:r>
        <w:rPr>
          <w:lang w:val="el-GR"/>
        </w:rPr>
        <w:tab/>
      </w:r>
      <w:r w:rsidRPr="007D29EA">
        <w:rPr>
          <w:lang w:val="el-GR"/>
        </w:rPr>
        <w:t xml:space="preserve">Το 2019, στο τρίτο τρίμηνο του έτους συγκεντρώθηκε το 55% των ετήσιων τουριστικών αφίξεων από το εξωτερικό (στοιχεία Ισοζυγίου Πληρωμών της Τράπεζας της Ελλάδος). </w:t>
      </w:r>
    </w:p>
  </w:footnote>
  <w:footnote w:id="6">
    <w:p w:rsidR="00B22BE5" w:rsidRPr="007D29EA" w:rsidRDefault="00B22BE5" w:rsidP="0014792D">
      <w:pPr>
        <w:pStyle w:val="FootnoteText"/>
        <w:tabs>
          <w:tab w:val="left" w:pos="284"/>
        </w:tabs>
        <w:ind w:left="284" w:hanging="284"/>
        <w:jc w:val="both"/>
        <w:rPr>
          <w:lang w:val="el-GR"/>
        </w:rPr>
      </w:pPr>
      <w:r>
        <w:rPr>
          <w:rStyle w:val="FootnoteReference"/>
        </w:rPr>
        <w:footnoteRef/>
      </w:r>
      <w:r>
        <w:rPr>
          <w:lang w:val="el-GR"/>
        </w:rPr>
        <w:tab/>
      </w:r>
      <w:r w:rsidRPr="007D29EA">
        <w:rPr>
          <w:lang w:val="el-GR"/>
        </w:rPr>
        <w:t>Στο διάγραμμα 1.1 αυτό αντανακλάται στην μικρότερη κλίση της καμπύλης ανάκαμψης στην Ελλάδα. Ωστόσο, ενδεχομένως να υπάρξει αντίστοιχη αναθεώρηση για την Ευρωζώνη από την Ευρωπαϊκή Επιτροπή, στο πλαίσιο του επόμενου γύρου Οικονομικών προβλέψεών της, τον Νοέμβριο 2020 (στη βάση των νεότερων επιδημιολογικών δεδομένων έναντι του τελευταίου γύρου, Ιουλίου 2020).</w:t>
      </w:r>
    </w:p>
  </w:footnote>
  <w:footnote w:id="7">
    <w:p w:rsidR="00B22BE5" w:rsidRPr="007D29EA" w:rsidRDefault="00B22BE5" w:rsidP="005457F6">
      <w:pPr>
        <w:pStyle w:val="FootnoteText"/>
        <w:tabs>
          <w:tab w:val="left" w:pos="284"/>
        </w:tabs>
        <w:jc w:val="both"/>
        <w:rPr>
          <w:lang w:val="el-GR"/>
        </w:rPr>
      </w:pPr>
      <w:r>
        <w:rPr>
          <w:rStyle w:val="FootnoteReference"/>
        </w:rPr>
        <w:footnoteRef/>
      </w:r>
      <w:r>
        <w:rPr>
          <w:lang w:val="el-GR"/>
        </w:rPr>
        <w:tab/>
      </w:r>
      <w:r w:rsidRPr="007D29EA">
        <w:rPr>
          <w:lang w:val="el-GR"/>
        </w:rPr>
        <w:t>Περιλαμβάνει τις δραστηριότητες σχετικά με την ανθρώπινη υγεία και την κοινωνική μέριμνα.</w:t>
      </w:r>
    </w:p>
  </w:footnote>
  <w:footnote w:id="8">
    <w:p w:rsidR="00B22BE5" w:rsidRPr="00064F7A" w:rsidRDefault="00B22BE5" w:rsidP="009A5A06">
      <w:pPr>
        <w:pStyle w:val="FootnoteText"/>
        <w:tabs>
          <w:tab w:val="left" w:pos="284"/>
        </w:tabs>
        <w:ind w:left="284" w:hanging="284"/>
        <w:jc w:val="both"/>
        <w:rPr>
          <w:lang w:val="el-GR"/>
        </w:rPr>
      </w:pPr>
      <w:r>
        <w:rPr>
          <w:rStyle w:val="FootnoteReference"/>
        </w:rPr>
        <w:footnoteRef/>
      </w:r>
      <w:r w:rsidRPr="009A5A06">
        <w:rPr>
          <w:lang w:val="el-GR"/>
        </w:rPr>
        <w:tab/>
      </w:r>
      <w:r w:rsidRPr="00064F7A">
        <w:rPr>
          <w:lang w:val="el-GR"/>
        </w:rPr>
        <w:t xml:space="preserve">Ωστόσο, η πολύ αρνητική μεταβολή του </w:t>
      </w:r>
      <w:r w:rsidRPr="00064F7A">
        <w:rPr>
          <w:lang w:val="el-GR"/>
        </w:rPr>
        <w:t>αποπληθωριστή ΑΕΠ αποκλίνει από το σταθμισμένο άθροισμα των αποπληθωριστών των συνιστωσών του ΑΕΠ, υποδηλώνοντας την επίδραση καταλοίπων που ενδέχεται να υποστούν σχετική διόρθωση στο σύνολο του έτους.</w:t>
      </w:r>
    </w:p>
  </w:footnote>
  <w:footnote w:id="9">
    <w:p w:rsidR="00B22BE5" w:rsidRPr="00064F7A" w:rsidRDefault="00B22BE5" w:rsidP="009A5A06">
      <w:pPr>
        <w:pStyle w:val="FootnoteText"/>
        <w:tabs>
          <w:tab w:val="left" w:pos="284"/>
        </w:tabs>
        <w:ind w:left="284" w:hanging="284"/>
        <w:rPr>
          <w:lang w:val="el-GR"/>
        </w:rPr>
      </w:pPr>
      <w:r>
        <w:rPr>
          <w:rStyle w:val="FootnoteReference"/>
        </w:rPr>
        <w:footnoteRef/>
      </w:r>
      <w:r w:rsidRPr="009A5A06">
        <w:rPr>
          <w:lang w:val="el-GR"/>
        </w:rPr>
        <w:tab/>
      </w:r>
      <w:r w:rsidRPr="00064F7A">
        <w:rPr>
          <w:lang w:val="el-GR"/>
        </w:rPr>
        <w:t>Τον Ιούλιο του 2020 παρατάθηκε η ισχύς της ως το τέλος του 2021.</w:t>
      </w:r>
    </w:p>
  </w:footnote>
  <w:footnote w:id="10">
    <w:p w:rsidR="00B22BE5" w:rsidRPr="00064F7A" w:rsidRDefault="00B22BE5" w:rsidP="009A5A06">
      <w:pPr>
        <w:pStyle w:val="FootnoteText"/>
        <w:tabs>
          <w:tab w:val="left" w:pos="284"/>
        </w:tabs>
        <w:ind w:left="284" w:hanging="284"/>
        <w:jc w:val="both"/>
        <w:rPr>
          <w:lang w:val="el-GR"/>
        </w:rPr>
      </w:pPr>
      <w:r>
        <w:rPr>
          <w:rStyle w:val="FootnoteReference"/>
        </w:rPr>
        <w:footnoteRef/>
      </w:r>
      <w:r w:rsidRPr="00064F7A">
        <w:rPr>
          <w:lang w:val="el-GR"/>
        </w:rPr>
        <w:t xml:space="preserve"> </w:t>
      </w:r>
      <w:r w:rsidRPr="009A5A06">
        <w:rPr>
          <w:lang w:val="el-GR"/>
        </w:rPr>
        <w:tab/>
      </w:r>
      <w:r w:rsidRPr="00064F7A">
        <w:rPr>
          <w:lang w:val="el-GR"/>
        </w:rPr>
        <w:t>Το Συμβούλιο της Ευρωπαϊκής Ένωσης ενέκρινε την πρόταση της Ευρωπαϊκής Επιτροπής για την ενεργοποίηση της γενικής ρήτρας διαφυγής του Συμφώνου Σταθερότητας και Ανάπτυξης στις 23 Μαρτίου 2020, στη βάση της πλήρωσης των προϋποθέσεων «σοβαρής οικονομικής ύφεσης στη ζώνη του ευρώ ή στην Ένωση συνολικά».</w:t>
      </w:r>
    </w:p>
  </w:footnote>
  <w:footnote w:id="11">
    <w:p w:rsidR="00B22BE5" w:rsidRPr="00064F7A" w:rsidRDefault="00B22BE5" w:rsidP="009A5A06">
      <w:pPr>
        <w:pStyle w:val="FootnoteText"/>
        <w:tabs>
          <w:tab w:val="left" w:pos="284"/>
        </w:tabs>
        <w:ind w:left="284" w:hanging="284"/>
        <w:jc w:val="both"/>
        <w:rPr>
          <w:lang w:val="el-GR"/>
        </w:rPr>
      </w:pPr>
      <w:r>
        <w:rPr>
          <w:rStyle w:val="FootnoteReference"/>
        </w:rPr>
        <w:footnoteRef/>
      </w:r>
      <w:r w:rsidRPr="009A5A06">
        <w:rPr>
          <w:lang w:val="el-GR"/>
        </w:rPr>
        <w:tab/>
      </w:r>
      <w:r w:rsidRPr="00064F7A">
        <w:rPr>
          <w:lang w:val="el-GR"/>
        </w:rPr>
        <w:t xml:space="preserve">Πέραν της πρότασης ενεργοποίησης της γενικής ρήτρας διαφυγής, πρωτοβουλίες της Ευρωπαϊκής Επιτροπής αποτέλεσαν η αναστολή των ευρωπαϊκών κανόνων κρατικών ενισχύσεων, με τη θέσπιση ενός προσωρινού πλαισίου για τη διευκόλυνση λήψης μέτρων κρατικής ενίσχυσης προς επιχειρήσεις, καθώς και μια σειρά εκτεταμένων μέτρων για τη στήριξη των επιχειρήσεων και της απασχόλησης (στήριξη αεροπορικών εταιριών, έλεγχος των ξένων άμεσων επενδύσεων, στήριξη του πρωτογενούς τομέα, και η Πρωτοβουλία Επενδύσεων για την Αντιμετώπιση του </w:t>
      </w:r>
      <w:r w:rsidRPr="00064F7A">
        <w:rPr>
          <w:lang w:val="el-GR"/>
        </w:rPr>
        <w:t>Κορωνοϊού, που εισάγει ρυθμίσεις για τη χρήση μη δαπανηθέντων κονδυλίων των διαρθρωτικών και επενδυτικών ταμείων της Πολιτικής Συνοχής της ΕΕ περιόδου 2014-2020, συνολικού ύψους 37 δισ. ευρώ, για δαπάνες σχετικές με τον κορωνοϊό).</w:t>
      </w:r>
    </w:p>
  </w:footnote>
  <w:footnote w:id="12">
    <w:p w:rsidR="00B22BE5" w:rsidRPr="004F70E9" w:rsidRDefault="00B22BE5" w:rsidP="009A5A06">
      <w:pPr>
        <w:pStyle w:val="FootnoteText"/>
        <w:tabs>
          <w:tab w:val="left" w:pos="284"/>
        </w:tabs>
        <w:ind w:left="284" w:hanging="284"/>
        <w:jc w:val="both"/>
        <w:rPr>
          <w:lang w:val="el-GR"/>
        </w:rPr>
      </w:pPr>
      <w:r>
        <w:rPr>
          <w:rStyle w:val="FootnoteReference"/>
        </w:rPr>
        <w:footnoteRef/>
      </w:r>
      <w:r>
        <w:rPr>
          <w:lang w:val="el-GR"/>
        </w:rPr>
        <w:tab/>
      </w:r>
      <w:r w:rsidRPr="004F70E9">
        <w:rPr>
          <w:lang w:val="el-GR"/>
        </w:rPr>
        <w:t>Αντίστοιχο ειδικό βοήθημα 600 ευρώ χορηγήθηκε σε έξι επιστημονικούς τομείς κατά τη διάρκεια του Απριλίου.</w:t>
      </w:r>
    </w:p>
  </w:footnote>
  <w:footnote w:id="13">
    <w:p w:rsidR="00B22BE5" w:rsidRPr="004F70E9" w:rsidRDefault="00B22BE5" w:rsidP="009A5A06">
      <w:pPr>
        <w:ind w:left="284" w:hanging="284"/>
        <w:jc w:val="both"/>
        <w:rPr>
          <w:sz w:val="20"/>
          <w:szCs w:val="20"/>
        </w:rPr>
      </w:pPr>
      <w:r w:rsidRPr="004F70E9">
        <w:rPr>
          <w:rStyle w:val="FootnoteReference"/>
          <w:sz w:val="20"/>
          <w:szCs w:val="20"/>
        </w:rPr>
        <w:footnoteRef/>
      </w:r>
      <w:r>
        <w:rPr>
          <w:sz w:val="20"/>
          <w:szCs w:val="20"/>
        </w:rPr>
        <w:tab/>
      </w:r>
      <w:r w:rsidRPr="004F70E9">
        <w:rPr>
          <w:sz w:val="20"/>
          <w:szCs w:val="20"/>
        </w:rPr>
        <w:t xml:space="preserve">Επιπλέον αυτών, το πακέτο των δημοσιονομικών μέτρων οικονομικής στήριξης συμπληρώνεται από </w:t>
      </w:r>
      <w:r>
        <w:rPr>
          <w:sz w:val="20"/>
          <w:szCs w:val="20"/>
        </w:rPr>
        <w:t xml:space="preserve">ποικίλες </w:t>
      </w:r>
      <w:r w:rsidRPr="004F70E9">
        <w:rPr>
          <w:sz w:val="20"/>
          <w:szCs w:val="20"/>
        </w:rPr>
        <w:t xml:space="preserve">δράσεις </w:t>
      </w:r>
      <w:r>
        <w:rPr>
          <w:sz w:val="20"/>
          <w:szCs w:val="20"/>
        </w:rPr>
        <w:t xml:space="preserve">που αποτυπώνονται στο σύνολό τους στο αντίστοιχο Κεφάλαιο δημοσιονομικών παρεμβάσεων 2020 και 2021. </w:t>
      </w:r>
    </w:p>
  </w:footnote>
  <w:footnote w:id="14">
    <w:p w:rsidR="00B22BE5" w:rsidRPr="00C3719B" w:rsidRDefault="00B22BE5" w:rsidP="00C3719B">
      <w:pPr>
        <w:pStyle w:val="FootnoteText"/>
        <w:tabs>
          <w:tab w:val="left" w:pos="284"/>
        </w:tabs>
        <w:ind w:left="284" w:hanging="284"/>
        <w:jc w:val="both"/>
        <w:rPr>
          <w:lang w:val="el-GR"/>
        </w:rPr>
      </w:pPr>
      <w:r w:rsidRPr="00C3719B">
        <w:rPr>
          <w:rStyle w:val="FootnoteReference"/>
        </w:rPr>
        <w:footnoteRef/>
      </w:r>
      <w:r>
        <w:rPr>
          <w:lang w:val="el-GR"/>
        </w:rPr>
        <w:tab/>
      </w:r>
      <w:r w:rsidRPr="00C3719B">
        <w:rPr>
          <w:lang w:val="el-GR"/>
        </w:rPr>
        <w:t>Καθώς και φυσικά πρόσωπα που ασκούν ατομική επιχειρηματική δραστηριότητα ή πρόκειται να συστήσουν πολύ μικρή επιχείρηση, και άτομα που θέλουν να εκπαιδευτούν ώστε να μπουν στην αγορά εργασίας ή προέρχονται από ευάλωτες ομάδες.</w:t>
      </w:r>
    </w:p>
  </w:footnote>
  <w:footnote w:id="15">
    <w:p w:rsidR="00B22BE5" w:rsidRPr="00C3719B" w:rsidRDefault="00B22BE5" w:rsidP="00C3719B">
      <w:pPr>
        <w:tabs>
          <w:tab w:val="left" w:pos="284"/>
        </w:tabs>
        <w:ind w:left="284" w:hanging="284"/>
        <w:jc w:val="both"/>
        <w:rPr>
          <w:sz w:val="20"/>
          <w:szCs w:val="20"/>
        </w:rPr>
      </w:pPr>
      <w:r w:rsidRPr="00C3719B">
        <w:rPr>
          <w:rStyle w:val="FootnoteReference"/>
          <w:sz w:val="20"/>
          <w:szCs w:val="20"/>
        </w:rPr>
        <w:footnoteRef/>
      </w:r>
      <w:r>
        <w:rPr>
          <w:sz w:val="20"/>
          <w:szCs w:val="20"/>
        </w:rPr>
        <w:tab/>
      </w:r>
      <w:r w:rsidRPr="00C3719B">
        <w:rPr>
          <w:sz w:val="20"/>
          <w:szCs w:val="20"/>
        </w:rPr>
        <w:t xml:space="preserve">Επιπλέον, ως μέρος της δέσμης προσωρινών μέτρων για τη χαλάρωση των κριτηρίων καταλληλότητας των εξασφαλίσεων που έλαβε πρόσφατα το Διοικητικό Συμβούλιο, τα ελληνικά κρατικά χρεόγραφα γίνονται προσωρινά αποδεκτά ως εξασφαλίσεις στις πιστοδοτικές πράξεις του </w:t>
      </w:r>
      <w:r w:rsidRPr="00C3719B">
        <w:rPr>
          <w:sz w:val="20"/>
          <w:szCs w:val="20"/>
        </w:rPr>
        <w:t>Ευρωσυστήματος, βάσει παρέκκλισης.</w:t>
      </w:r>
    </w:p>
  </w:footnote>
  <w:footnote w:id="16">
    <w:p w:rsidR="00B22BE5" w:rsidRPr="004F70E9" w:rsidRDefault="00B22BE5" w:rsidP="00C3719B">
      <w:pPr>
        <w:pStyle w:val="FootnoteText"/>
        <w:tabs>
          <w:tab w:val="left" w:pos="284"/>
        </w:tabs>
        <w:ind w:left="284" w:hanging="284"/>
        <w:jc w:val="both"/>
        <w:rPr>
          <w:lang w:val="el-GR"/>
        </w:rPr>
      </w:pPr>
      <w:r>
        <w:rPr>
          <w:rStyle w:val="FootnoteReference"/>
        </w:rPr>
        <w:footnoteRef/>
      </w:r>
      <w:r>
        <w:rPr>
          <w:lang w:val="el-GR"/>
        </w:rPr>
        <w:tab/>
      </w:r>
      <w:r w:rsidRPr="004F70E9">
        <w:rPr>
          <w:lang w:val="el-GR"/>
        </w:rPr>
        <w:t xml:space="preserve">Λαμβάνοντας υπόψη και την επί τα </w:t>
      </w:r>
      <w:r w:rsidRPr="004F70E9">
        <w:rPr>
          <w:lang w:val="el-GR"/>
        </w:rPr>
        <w:t xml:space="preserve">χείρω αναθεώρηση των υποθέσεων για τη διάρκεια της υγειονομικής κρίσης στην Ελλάδα και διεθνώς. </w:t>
      </w:r>
    </w:p>
  </w:footnote>
  <w:footnote w:id="17">
    <w:p w:rsidR="00B22BE5" w:rsidRPr="004F70E9" w:rsidRDefault="00B22BE5" w:rsidP="007E3FE5">
      <w:pPr>
        <w:pStyle w:val="FootnoteText"/>
        <w:tabs>
          <w:tab w:val="left" w:pos="284"/>
        </w:tabs>
        <w:jc w:val="both"/>
        <w:rPr>
          <w:lang w:val="el-GR"/>
        </w:rPr>
      </w:pPr>
      <w:r w:rsidRPr="00D41C7A">
        <w:rPr>
          <w:rStyle w:val="FootnoteReference"/>
        </w:rPr>
        <w:footnoteRef/>
      </w:r>
      <w:r>
        <w:rPr>
          <w:color w:val="222222"/>
          <w:lang w:val="el-GR"/>
        </w:rPr>
        <w:tab/>
      </w:r>
      <w:r w:rsidRPr="004F70E9">
        <w:rPr>
          <w:color w:val="222222"/>
          <w:lang w:val="el-GR"/>
        </w:rPr>
        <w:t>Σε αυτό συμβάλλει η υποχώρηση των επενδύσεων σε εξοπλισμό κατά 25% το 2020.</w:t>
      </w:r>
    </w:p>
  </w:footnote>
  <w:footnote w:id="18">
    <w:p w:rsidR="00B22BE5" w:rsidRPr="007E3FE5" w:rsidRDefault="00B22BE5" w:rsidP="007E3FE5">
      <w:pPr>
        <w:pStyle w:val="FootnoteText"/>
        <w:tabs>
          <w:tab w:val="left" w:pos="284"/>
        </w:tabs>
        <w:ind w:left="284" w:hanging="284"/>
        <w:jc w:val="both"/>
        <w:rPr>
          <w:lang w:val="el-GR"/>
        </w:rPr>
      </w:pPr>
      <w:r>
        <w:rPr>
          <w:rStyle w:val="FootnoteReference"/>
        </w:rPr>
        <w:footnoteRef/>
      </w:r>
      <w:r w:rsidRPr="007E3FE5">
        <w:rPr>
          <w:lang w:val="el-GR"/>
        </w:rPr>
        <w:t xml:space="preserve"> </w:t>
      </w:r>
      <w:r w:rsidRPr="007E3FE5">
        <w:rPr>
          <w:lang w:val="el-GR"/>
        </w:rPr>
        <w:tab/>
        <w:t>Το πραγματικό επιτόκιο εκτιμάται ως η διαφορά μεταξύ του ονομαστικού επιτοκίου και του δωδεκάμηνου ρυθμού πληθωρισμού.</w:t>
      </w:r>
    </w:p>
  </w:footnote>
  <w:footnote w:id="19">
    <w:p w:rsidR="00B22BE5" w:rsidRPr="00E01754" w:rsidRDefault="00B22BE5" w:rsidP="001853CC">
      <w:pPr>
        <w:pStyle w:val="FootnoteText"/>
        <w:tabs>
          <w:tab w:val="left" w:pos="284"/>
        </w:tabs>
        <w:ind w:left="284" w:hanging="284"/>
        <w:jc w:val="both"/>
        <w:rPr>
          <w:lang w:val="el-GR"/>
        </w:rPr>
      </w:pPr>
      <w:r w:rsidRPr="00D41C7A">
        <w:rPr>
          <w:rStyle w:val="FootnoteReference"/>
        </w:rPr>
        <w:footnoteRef/>
      </w:r>
      <w:r w:rsidRPr="00E01754">
        <w:rPr>
          <w:lang w:val="el-GR"/>
        </w:rPr>
        <w:t xml:space="preserve"> </w:t>
      </w:r>
      <w:r>
        <w:rPr>
          <w:lang w:val="el-GR"/>
        </w:rPr>
        <w:tab/>
      </w:r>
      <w:r w:rsidRPr="00E01754">
        <w:rPr>
          <w:color w:val="222222"/>
          <w:lang w:val="el-GR"/>
        </w:rPr>
        <w:t>Αν και ο μεταποιητικός κλάδος συνεχίζει να βελτιώνεται, η δυναμική στον κλάδο των υπηρεσιών επιβραδύνεται.</w:t>
      </w:r>
    </w:p>
  </w:footnote>
  <w:footnote w:id="20">
    <w:p w:rsidR="00B22BE5" w:rsidRPr="00E4118B" w:rsidRDefault="00B22BE5" w:rsidP="001853CC">
      <w:pPr>
        <w:pStyle w:val="Heading1"/>
        <w:tabs>
          <w:tab w:val="left" w:pos="284"/>
        </w:tabs>
        <w:spacing w:before="0"/>
        <w:textAlignment w:val="baseline"/>
        <w:rPr>
          <w:rFonts w:ascii="Times New Roman" w:hAnsi="Times New Roman"/>
          <w:b w:val="0"/>
          <w:bCs w:val="0"/>
          <w:sz w:val="20"/>
          <w:szCs w:val="20"/>
        </w:rPr>
      </w:pPr>
      <w:r w:rsidRPr="001853CC">
        <w:rPr>
          <w:rStyle w:val="FootnoteReference"/>
          <w:rFonts w:ascii="Times New Roman" w:hAnsi="Times New Roman"/>
          <w:b w:val="0"/>
          <w:sz w:val="20"/>
          <w:szCs w:val="20"/>
        </w:rPr>
        <w:footnoteRef/>
      </w:r>
      <w:r>
        <w:rPr>
          <w:rFonts w:ascii="Times New Roman" w:hAnsi="Times New Roman"/>
          <w:b w:val="0"/>
          <w:bCs w:val="0"/>
          <w:sz w:val="20"/>
          <w:szCs w:val="20"/>
        </w:rPr>
        <w:tab/>
      </w:r>
      <w:r w:rsidRPr="0003129A">
        <w:rPr>
          <w:rFonts w:ascii="Times New Roman" w:hAnsi="Times New Roman"/>
          <w:b w:val="0"/>
          <w:bCs w:val="0"/>
          <w:sz w:val="20"/>
          <w:szCs w:val="20"/>
        </w:rPr>
        <w:t>Μακροοικονομικές προβολές εμπειρογνωμόνων της ΕΚΤ για τη</w:t>
      </w:r>
      <w:r>
        <w:rPr>
          <w:rFonts w:ascii="Times New Roman" w:hAnsi="Times New Roman"/>
          <w:b w:val="0"/>
          <w:bCs w:val="0"/>
          <w:sz w:val="20"/>
          <w:szCs w:val="20"/>
        </w:rPr>
        <w:t>ν</w:t>
      </w:r>
      <w:r w:rsidRPr="0003129A">
        <w:rPr>
          <w:rFonts w:ascii="Times New Roman" w:hAnsi="Times New Roman"/>
          <w:b w:val="0"/>
          <w:bCs w:val="0"/>
          <w:sz w:val="20"/>
          <w:szCs w:val="20"/>
        </w:rPr>
        <w:t xml:space="preserve"> </w:t>
      </w:r>
      <w:r>
        <w:rPr>
          <w:rFonts w:ascii="Times New Roman" w:hAnsi="Times New Roman"/>
          <w:b w:val="0"/>
          <w:bCs w:val="0"/>
          <w:sz w:val="20"/>
          <w:szCs w:val="20"/>
        </w:rPr>
        <w:t>Ευρωζώνη</w:t>
      </w:r>
      <w:r w:rsidRPr="0003129A">
        <w:rPr>
          <w:rFonts w:ascii="Times New Roman" w:hAnsi="Times New Roman"/>
          <w:b w:val="0"/>
          <w:bCs w:val="0"/>
          <w:sz w:val="20"/>
          <w:szCs w:val="20"/>
        </w:rPr>
        <w:t>, Σεπτέμβριος 2020</w:t>
      </w:r>
      <w:r>
        <w:rPr>
          <w:rFonts w:ascii="Times New Roman" w:hAnsi="Times New Roman"/>
          <w:b w:val="0"/>
          <w:bCs w:val="0"/>
          <w:sz w:val="20"/>
          <w:szCs w:val="20"/>
        </w:rPr>
        <w:t>.</w:t>
      </w:r>
    </w:p>
  </w:footnote>
  <w:footnote w:id="21">
    <w:p w:rsidR="00B22BE5" w:rsidRPr="001853CC" w:rsidRDefault="00B22BE5" w:rsidP="001853CC">
      <w:pPr>
        <w:pStyle w:val="FootnoteText"/>
        <w:tabs>
          <w:tab w:val="left" w:pos="284"/>
        </w:tabs>
        <w:ind w:left="284" w:hanging="284"/>
        <w:jc w:val="both"/>
        <w:rPr>
          <w:rFonts w:ascii="Arial" w:hAnsi="Arial" w:cs="Arial"/>
          <w:color w:val="212529"/>
          <w:sz w:val="30"/>
          <w:szCs w:val="30"/>
          <w:shd w:val="clear" w:color="auto" w:fill="FFFFFF"/>
          <w:lang w:val="el-GR"/>
        </w:rPr>
      </w:pPr>
      <w:r>
        <w:rPr>
          <w:rStyle w:val="FootnoteReference"/>
        </w:rPr>
        <w:footnoteRef/>
      </w:r>
      <w:r>
        <w:rPr>
          <w:lang w:val="el-GR"/>
        </w:rPr>
        <w:tab/>
      </w:r>
      <w:r w:rsidRPr="001853CC">
        <w:rPr>
          <w:lang w:val="el-GR"/>
        </w:rPr>
        <w:t xml:space="preserve">Πρόγραμμα για τη δημιουργία 100.000 νέων θέσεων απασχόλησης στον ιδιωτικό τομέα με κάλυψη του 100% των ασφαλιστικών εισφορών για 6 μήνες, μείωση κατά 3 ποσοστιαίες μονάδες των ασφαλιστικών εισφορών εργοδοτών και μισθωτών του ιδιωτικού τομέα, αναστολή της εισφοράς αλληλεγγύης για </w:t>
      </w:r>
      <w:r>
        <w:rPr>
          <w:lang w:val="el-GR"/>
        </w:rPr>
        <w:t>εισοδήματα από ιδιωτική δραστηριότητα.</w:t>
      </w:r>
      <w:r w:rsidRPr="001853CC">
        <w:rPr>
          <w:rFonts w:ascii="Arial" w:hAnsi="Arial" w:cs="Arial"/>
          <w:color w:val="212529"/>
          <w:sz w:val="30"/>
          <w:szCs w:val="30"/>
          <w:shd w:val="clear" w:color="auto" w:fill="FFFFFF"/>
          <w:lang w:val="el-GR"/>
        </w:rPr>
        <w:t xml:space="preserve"> </w:t>
      </w:r>
    </w:p>
  </w:footnote>
  <w:footnote w:id="22">
    <w:p w:rsidR="00B22BE5" w:rsidRPr="001853CC" w:rsidRDefault="00B22BE5" w:rsidP="001853CC">
      <w:pPr>
        <w:pStyle w:val="FootnoteText"/>
        <w:tabs>
          <w:tab w:val="left" w:pos="284"/>
        </w:tabs>
        <w:ind w:left="284" w:hanging="284"/>
        <w:jc w:val="both"/>
        <w:rPr>
          <w:lang w:val="el-GR"/>
        </w:rPr>
      </w:pPr>
      <w:r>
        <w:rPr>
          <w:rStyle w:val="FootnoteReference"/>
        </w:rPr>
        <w:footnoteRef/>
      </w:r>
      <w:r w:rsidRPr="001853CC">
        <w:rPr>
          <w:lang w:val="el-GR"/>
        </w:rPr>
        <w:t xml:space="preserve"> </w:t>
      </w:r>
      <w:r>
        <w:rPr>
          <w:lang w:val="el-GR"/>
        </w:rPr>
        <w:tab/>
      </w:r>
      <w:r w:rsidRPr="001853CC">
        <w:rPr>
          <w:lang w:val="el-GR"/>
        </w:rPr>
        <w:t xml:space="preserve">Αυτό υποδηλώνει ότι χωρίς την ενεργοποίηση του Ταμείου Ανάκαμψης η ανάπτυξη στην Ελλάδα το 2021 θα κυμαινόταν στο 5,5% έναντι του 2020. </w:t>
      </w:r>
    </w:p>
  </w:footnote>
  <w:footnote w:id="23">
    <w:p w:rsidR="00B22BE5" w:rsidRPr="005442EE" w:rsidRDefault="00B22BE5" w:rsidP="005442EE">
      <w:pPr>
        <w:pStyle w:val="FootnoteText"/>
        <w:tabs>
          <w:tab w:val="left" w:pos="284"/>
        </w:tabs>
        <w:rPr>
          <w:lang w:val="en-US"/>
        </w:rPr>
      </w:pPr>
      <w:r>
        <w:rPr>
          <w:rStyle w:val="FootnoteReference"/>
        </w:rPr>
        <w:footnoteRef/>
      </w:r>
      <w:r w:rsidRPr="005442EE">
        <w:rPr>
          <w:lang w:val="en-US"/>
        </w:rPr>
        <w:t xml:space="preserve"> </w:t>
      </w:r>
      <w:r w:rsidRPr="005442EE">
        <w:rPr>
          <w:lang w:val="en-US"/>
        </w:rPr>
        <w:tab/>
      </w:r>
      <w:r>
        <w:rPr>
          <w:lang w:val="en-US"/>
        </w:rPr>
        <w:t>EU Commission, Enhanced Surveillance Report Greece, November 2019, p. 1-145.</w:t>
      </w:r>
    </w:p>
  </w:footnote>
  <w:footnote w:id="24">
    <w:p w:rsidR="00B22BE5" w:rsidRPr="00E7562B" w:rsidRDefault="00B22BE5" w:rsidP="00E7562B">
      <w:pPr>
        <w:tabs>
          <w:tab w:val="left" w:pos="284"/>
        </w:tabs>
        <w:ind w:left="284" w:hanging="284"/>
        <w:jc w:val="both"/>
        <w:rPr>
          <w:sz w:val="20"/>
          <w:szCs w:val="20"/>
        </w:rPr>
      </w:pPr>
      <w:r w:rsidRPr="00E7562B">
        <w:rPr>
          <w:sz w:val="20"/>
          <w:szCs w:val="20"/>
          <w:vertAlign w:val="superscript"/>
        </w:rPr>
        <w:footnoteRef/>
      </w:r>
      <w:r>
        <w:rPr>
          <w:sz w:val="20"/>
          <w:szCs w:val="20"/>
        </w:rPr>
        <w:tab/>
      </w:r>
      <w:r w:rsidRPr="00E7562B">
        <w:rPr>
          <w:sz w:val="20"/>
          <w:szCs w:val="20"/>
        </w:rPr>
        <w:t xml:space="preserve">Η Επιτροπή συστάθηκε με την υπ’ </w:t>
      </w:r>
      <w:r w:rsidRPr="00E7562B">
        <w:rPr>
          <w:sz w:val="20"/>
          <w:szCs w:val="20"/>
        </w:rPr>
        <w:t>αριθμ. 138560 ΕΞ 2019/5.12.2019 απόφαση του Γενικού Γραμματέα Δημοσιονομικής Πολιτικής (τ. ΥΟΔΔ 1056).</w:t>
      </w:r>
    </w:p>
  </w:footnote>
  <w:footnote w:id="25">
    <w:p w:rsidR="00B22BE5" w:rsidRPr="00E7562B" w:rsidRDefault="00B22BE5" w:rsidP="00E7562B">
      <w:pPr>
        <w:tabs>
          <w:tab w:val="left" w:pos="284"/>
        </w:tabs>
        <w:ind w:left="284" w:hanging="284"/>
        <w:jc w:val="both"/>
        <w:rPr>
          <w:sz w:val="20"/>
          <w:szCs w:val="20"/>
        </w:rPr>
      </w:pPr>
      <w:r w:rsidRPr="00E7562B">
        <w:rPr>
          <w:sz w:val="20"/>
          <w:szCs w:val="20"/>
          <w:vertAlign w:val="superscript"/>
        </w:rPr>
        <w:footnoteRef/>
      </w:r>
      <w:r>
        <w:rPr>
          <w:sz w:val="20"/>
          <w:szCs w:val="20"/>
        </w:rPr>
        <w:tab/>
      </w:r>
      <w:r w:rsidRPr="00E7562B">
        <w:rPr>
          <w:sz w:val="20"/>
          <w:szCs w:val="20"/>
        </w:rPr>
        <w:t>Το ύψος των ληξιπρόθεσμων υποχρεώσεων σε καθαρή (</w:t>
      </w:r>
      <w:r w:rsidRPr="00E7562B">
        <w:rPr>
          <w:sz w:val="20"/>
          <w:szCs w:val="20"/>
        </w:rPr>
        <w:t>net) βάση προκύπτει ύστερα από την αφαίρεση των υποχρεώσεων που συμψηφ</w:t>
      </w:r>
      <w:r>
        <w:rPr>
          <w:sz w:val="20"/>
          <w:szCs w:val="20"/>
        </w:rPr>
        <w:t>ίζονται με clawback/rebate</w:t>
      </w:r>
      <w:r w:rsidRPr="000B3C6B">
        <w:rPr>
          <w:sz w:val="20"/>
          <w:szCs w:val="20"/>
        </w:rPr>
        <w:t>.</w:t>
      </w:r>
      <w:r>
        <w:rPr>
          <w:sz w:val="20"/>
          <w:szCs w:val="20"/>
        </w:rPr>
        <w:t xml:space="preserve"> </w:t>
      </w:r>
      <w:r>
        <w:rPr>
          <w:sz w:val="20"/>
          <w:szCs w:val="20"/>
          <w:lang w:val="en-US"/>
        </w:rPr>
        <w:t>E</w:t>
      </w:r>
      <w:r w:rsidRPr="00E7562B">
        <w:rPr>
          <w:sz w:val="20"/>
          <w:szCs w:val="20"/>
        </w:rPr>
        <w:t>ξαιρούνται, επίσης, αιτήσεις επιστροφής φόρων κάτω των ενενήντα (90) ημερών, καθώς και περιπτώσεις που ο δικαιούχος δεν έχει ανταποκριθεί παρά τη σχετική ειδοποίησή του και, τέλος, οι αιτήσεις επικουρικών συντάξεων. Επίσης, έχουν συμφωνηθεί λοιπές προσαρμογές (ιδίως οφειλές υπό δικαστική διαμάχη, κατασχέσεις, πάγιες προκαταβολές), για τις οποίες συλλέγονται μηνιαία στοιχεία από δείγμα φορέων.</w:t>
      </w:r>
    </w:p>
  </w:footnote>
  <w:footnote w:id="26">
    <w:p w:rsidR="00B22BE5" w:rsidRPr="005F6FAC" w:rsidRDefault="00B22BE5" w:rsidP="00E7562B">
      <w:pPr>
        <w:tabs>
          <w:tab w:val="left" w:pos="284"/>
        </w:tabs>
        <w:ind w:left="284" w:hanging="284"/>
        <w:jc w:val="both"/>
        <w:rPr>
          <w:sz w:val="20"/>
          <w:szCs w:val="20"/>
        </w:rPr>
      </w:pPr>
      <w:r w:rsidRPr="00E7562B">
        <w:rPr>
          <w:sz w:val="20"/>
          <w:szCs w:val="20"/>
          <w:vertAlign w:val="superscript"/>
        </w:rPr>
        <w:footnoteRef/>
      </w:r>
      <w:r>
        <w:rPr>
          <w:sz w:val="20"/>
          <w:szCs w:val="20"/>
        </w:rPr>
        <w:tab/>
      </w:r>
      <w:r w:rsidRPr="00E7562B">
        <w:rPr>
          <w:sz w:val="20"/>
          <w:szCs w:val="20"/>
        </w:rPr>
        <w:t>Άρθρο 6 ν. 4281/</w:t>
      </w:r>
      <w:r w:rsidRPr="005F6FAC">
        <w:rPr>
          <w:sz w:val="20"/>
          <w:szCs w:val="20"/>
        </w:rPr>
        <w:t xml:space="preserve">2014 (Α΄ 160), όπως τροποποιήθηκε με το άρθρο 69 του ν. 4714/2020 (Α΄ 148) και υπ’ αριθ. </w:t>
      </w:r>
      <w:r w:rsidRPr="005F6FAC">
        <w:rPr>
          <w:rStyle w:val="Emphasis"/>
          <w:i w:val="0"/>
          <w:sz w:val="20"/>
          <w:szCs w:val="20"/>
        </w:rPr>
        <w:t>2/31648/ΔΠΓΚ/2020 υπουργική απόφαση (Β' 3238),όπως ισχύει.</w:t>
      </w:r>
    </w:p>
  </w:footnote>
  <w:footnote w:id="27">
    <w:p w:rsidR="00B22BE5" w:rsidRPr="005F6FAC" w:rsidRDefault="00B22BE5" w:rsidP="00E7562B">
      <w:pPr>
        <w:pStyle w:val="FootnoteText"/>
        <w:tabs>
          <w:tab w:val="left" w:pos="284"/>
        </w:tabs>
        <w:ind w:left="284" w:hanging="284"/>
        <w:rPr>
          <w:lang w:val="el-GR"/>
        </w:rPr>
      </w:pPr>
      <w:r w:rsidRPr="005F6FAC">
        <w:rPr>
          <w:rStyle w:val="FootnoteReference"/>
        </w:rPr>
        <w:footnoteRef/>
      </w:r>
      <w:r w:rsidRPr="005F6FAC">
        <w:rPr>
          <w:lang w:val="el-GR"/>
        </w:rPr>
        <w:tab/>
        <w:t>Άρθρο 107 ν. 4714/2020 και σχετική αιτιολογική έκθεση.</w:t>
      </w:r>
    </w:p>
  </w:footnote>
  <w:footnote w:id="28">
    <w:p w:rsidR="00B22BE5" w:rsidRPr="00E7562B" w:rsidRDefault="00B22BE5" w:rsidP="00E7562B">
      <w:pPr>
        <w:tabs>
          <w:tab w:val="left" w:pos="284"/>
        </w:tabs>
        <w:ind w:left="284" w:hanging="284"/>
        <w:rPr>
          <w:sz w:val="20"/>
          <w:szCs w:val="20"/>
        </w:rPr>
      </w:pPr>
      <w:r w:rsidRPr="005F6FAC">
        <w:rPr>
          <w:sz w:val="20"/>
          <w:szCs w:val="20"/>
          <w:vertAlign w:val="superscript"/>
        </w:rPr>
        <w:footnoteRef/>
      </w:r>
      <w:r w:rsidRPr="005F6FAC">
        <w:rPr>
          <w:sz w:val="20"/>
          <w:szCs w:val="20"/>
        </w:rPr>
        <w:tab/>
        <w:t>Άρθρο 118 ν. 4714/2020 και την ΚΥΑ υπ’ αριθ. οικ. 32518/10263/10.8.2020 (Β΄ 3484) των Υπουργών Εργασίας &amp; Κοινωνικών Υποθέσεων και Επικρατείας, καθώς και ΚΥΑ υπ’ αριθ. οικ. 32377/1796/7.8.2020 (Β΄ 3520) των Υπουργών Οικονομικών και</w:t>
      </w:r>
      <w:r w:rsidRPr="00E7562B">
        <w:rPr>
          <w:sz w:val="20"/>
          <w:szCs w:val="20"/>
        </w:rPr>
        <w:t xml:space="preserve"> Εργασίας &amp; Κοινωνικών Υποθέσεων.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Default="00B22BE5">
    <w:pPr>
      <w:pStyle w:val="Header"/>
      <w:jc w:val="both"/>
      <w:rPr>
        <w:rFonts w:ascii="Arial Narrow" w:hAnsi="Arial Narrow"/>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1</w:t>
    </w:r>
  </w:p>
  <w:p w:rsidR="00B22BE5" w:rsidRDefault="00B22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Default="00B22BE5" w:rsidP="00522B02">
    <w:pPr>
      <w:pStyle w:val="Header"/>
      <w:jc w:val="right"/>
      <w:rPr>
        <w:rFonts w:ascii="Arial Narrow" w:hAnsi="Arial Narrow"/>
        <w:b/>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1</w:t>
    </w:r>
    <w:r>
      <w:rPr>
        <w:rFonts w:ascii="Arial Narrow" w:hAnsi="Arial Narrow"/>
        <w:b/>
        <w:color w:val="333333"/>
        <w:sz w:val="22"/>
      </w:rPr>
      <w:t xml:space="preserve"> </w:t>
    </w:r>
  </w:p>
  <w:p w:rsidR="00B22BE5" w:rsidRDefault="00B22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Default="00B22BE5">
    <w:pPr>
      <w:pStyle w:val="Header"/>
      <w:jc w:val="both"/>
      <w:rPr>
        <w:rFonts w:ascii="Arial Narrow" w:hAnsi="Arial Narrow"/>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2</w:t>
    </w:r>
  </w:p>
  <w:p w:rsidR="00B22BE5" w:rsidRDefault="00B22B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Default="00B22BE5" w:rsidP="00522B02">
    <w:pPr>
      <w:pStyle w:val="Header"/>
      <w:jc w:val="right"/>
      <w:rPr>
        <w:rFonts w:ascii="Arial Narrow" w:hAnsi="Arial Narrow"/>
        <w:b/>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2</w:t>
    </w:r>
    <w:r>
      <w:rPr>
        <w:rFonts w:ascii="Arial Narrow" w:hAnsi="Arial Narrow"/>
        <w:b/>
        <w:color w:val="333333"/>
        <w:sz w:val="22"/>
      </w:rPr>
      <w:t xml:space="preserve"> </w:t>
    </w:r>
  </w:p>
  <w:p w:rsidR="00B22BE5" w:rsidRDefault="00B22B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Default="00B22BE5">
    <w:pPr>
      <w:pStyle w:val="Header"/>
      <w:jc w:val="both"/>
      <w:rPr>
        <w:rFonts w:ascii="Arial Narrow" w:hAnsi="Arial Narrow"/>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3</w:t>
    </w:r>
  </w:p>
  <w:p w:rsidR="00B22BE5" w:rsidRDefault="00B22B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5" w:rsidRDefault="00B22BE5" w:rsidP="00522B02">
    <w:pPr>
      <w:pStyle w:val="Header"/>
      <w:jc w:val="right"/>
      <w:rPr>
        <w:rFonts w:ascii="Arial Narrow" w:hAnsi="Arial Narrow"/>
        <w:b/>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3</w:t>
    </w:r>
  </w:p>
  <w:p w:rsidR="00B22BE5" w:rsidRDefault="00B22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65" w:hanging="360"/>
      </w:pPr>
      <w:rPr>
        <w:rFonts w:ascii="Wingdings" w:hAnsi="Wingdings"/>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2" w15:restartNumberingAfterBreak="0">
    <w:nsid w:val="13FD091D"/>
    <w:multiLevelType w:val="hybridMultilevel"/>
    <w:tmpl w:val="BDDC2FFC"/>
    <w:lvl w:ilvl="0" w:tplc="04080001">
      <w:start w:val="1"/>
      <w:numFmt w:val="bullet"/>
      <w:lvlText w:val=""/>
      <w:lvlJc w:val="left"/>
      <w:pPr>
        <w:ind w:left="782" w:hanging="360"/>
      </w:pPr>
      <w:rPr>
        <w:rFonts w:ascii="Symbol" w:hAnsi="Symbol" w:hint="default"/>
      </w:rPr>
    </w:lvl>
    <w:lvl w:ilvl="1" w:tplc="04080003" w:tentative="1">
      <w:start w:val="1"/>
      <w:numFmt w:val="bullet"/>
      <w:lvlText w:val="o"/>
      <w:lvlJc w:val="left"/>
      <w:pPr>
        <w:ind w:left="1502" w:hanging="360"/>
      </w:pPr>
      <w:rPr>
        <w:rFonts w:ascii="Courier New" w:hAnsi="Courier New" w:cs="Courier New" w:hint="default"/>
      </w:rPr>
    </w:lvl>
    <w:lvl w:ilvl="2" w:tplc="04080005" w:tentative="1">
      <w:start w:val="1"/>
      <w:numFmt w:val="bullet"/>
      <w:lvlText w:val=""/>
      <w:lvlJc w:val="left"/>
      <w:pPr>
        <w:ind w:left="2222" w:hanging="360"/>
      </w:pPr>
      <w:rPr>
        <w:rFonts w:ascii="Wingdings" w:hAnsi="Wingdings" w:hint="default"/>
      </w:rPr>
    </w:lvl>
    <w:lvl w:ilvl="3" w:tplc="04080001" w:tentative="1">
      <w:start w:val="1"/>
      <w:numFmt w:val="bullet"/>
      <w:lvlText w:val=""/>
      <w:lvlJc w:val="left"/>
      <w:pPr>
        <w:ind w:left="2942" w:hanging="360"/>
      </w:pPr>
      <w:rPr>
        <w:rFonts w:ascii="Symbol" w:hAnsi="Symbol" w:hint="default"/>
      </w:rPr>
    </w:lvl>
    <w:lvl w:ilvl="4" w:tplc="04080003" w:tentative="1">
      <w:start w:val="1"/>
      <w:numFmt w:val="bullet"/>
      <w:lvlText w:val="o"/>
      <w:lvlJc w:val="left"/>
      <w:pPr>
        <w:ind w:left="3662" w:hanging="360"/>
      </w:pPr>
      <w:rPr>
        <w:rFonts w:ascii="Courier New" w:hAnsi="Courier New" w:cs="Courier New" w:hint="default"/>
      </w:rPr>
    </w:lvl>
    <w:lvl w:ilvl="5" w:tplc="04080005" w:tentative="1">
      <w:start w:val="1"/>
      <w:numFmt w:val="bullet"/>
      <w:lvlText w:val=""/>
      <w:lvlJc w:val="left"/>
      <w:pPr>
        <w:ind w:left="4382" w:hanging="360"/>
      </w:pPr>
      <w:rPr>
        <w:rFonts w:ascii="Wingdings" w:hAnsi="Wingdings" w:hint="default"/>
      </w:rPr>
    </w:lvl>
    <w:lvl w:ilvl="6" w:tplc="04080001" w:tentative="1">
      <w:start w:val="1"/>
      <w:numFmt w:val="bullet"/>
      <w:lvlText w:val=""/>
      <w:lvlJc w:val="left"/>
      <w:pPr>
        <w:ind w:left="5102" w:hanging="360"/>
      </w:pPr>
      <w:rPr>
        <w:rFonts w:ascii="Symbol" w:hAnsi="Symbol" w:hint="default"/>
      </w:rPr>
    </w:lvl>
    <w:lvl w:ilvl="7" w:tplc="04080003" w:tentative="1">
      <w:start w:val="1"/>
      <w:numFmt w:val="bullet"/>
      <w:lvlText w:val="o"/>
      <w:lvlJc w:val="left"/>
      <w:pPr>
        <w:ind w:left="5822" w:hanging="360"/>
      </w:pPr>
      <w:rPr>
        <w:rFonts w:ascii="Courier New" w:hAnsi="Courier New" w:cs="Courier New" w:hint="default"/>
      </w:rPr>
    </w:lvl>
    <w:lvl w:ilvl="8" w:tplc="04080005" w:tentative="1">
      <w:start w:val="1"/>
      <w:numFmt w:val="bullet"/>
      <w:lvlText w:val=""/>
      <w:lvlJc w:val="left"/>
      <w:pPr>
        <w:ind w:left="6542" w:hanging="360"/>
      </w:pPr>
      <w:rPr>
        <w:rFonts w:ascii="Wingdings" w:hAnsi="Wingdings" w:hint="default"/>
      </w:rPr>
    </w:lvl>
  </w:abstractNum>
  <w:abstractNum w:abstractNumId="3" w15:restartNumberingAfterBreak="0">
    <w:nsid w:val="1C5643B7"/>
    <w:multiLevelType w:val="hybridMultilevel"/>
    <w:tmpl w:val="0F50AE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39B1E5F"/>
    <w:multiLevelType w:val="hybridMultilevel"/>
    <w:tmpl w:val="A176B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CA1027"/>
    <w:multiLevelType w:val="hybridMultilevel"/>
    <w:tmpl w:val="9034C2F0"/>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6" w15:restartNumberingAfterBreak="0">
    <w:nsid w:val="3D551A28"/>
    <w:multiLevelType w:val="multilevel"/>
    <w:tmpl w:val="34A2B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A78F3"/>
    <w:multiLevelType w:val="hybridMultilevel"/>
    <w:tmpl w:val="CB504FFA"/>
    <w:lvl w:ilvl="0" w:tplc="213446D6">
      <w:start w:val="1"/>
      <w:numFmt w:val="bullet"/>
      <w:lvlText w:val=""/>
      <w:lvlJc w:val="left"/>
      <w:pPr>
        <w:tabs>
          <w:tab w:val="num" w:pos="348"/>
        </w:tabs>
        <w:ind w:left="348" w:hanging="348"/>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E0F58"/>
    <w:multiLevelType w:val="hybridMultilevel"/>
    <w:tmpl w:val="CFE63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9FB70FE"/>
    <w:multiLevelType w:val="hybridMultilevel"/>
    <w:tmpl w:val="35C07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2B0159"/>
    <w:multiLevelType w:val="hybridMultilevel"/>
    <w:tmpl w:val="E2D47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A9188E"/>
    <w:multiLevelType w:val="multilevel"/>
    <w:tmpl w:val="CA580D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7D67EB0"/>
    <w:multiLevelType w:val="multilevel"/>
    <w:tmpl w:val="334C543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C951134"/>
    <w:multiLevelType w:val="hybridMultilevel"/>
    <w:tmpl w:val="3FBEE0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5D1F36F8"/>
    <w:multiLevelType w:val="hybridMultilevel"/>
    <w:tmpl w:val="32368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7D65C7C"/>
    <w:multiLevelType w:val="hybridMultilevel"/>
    <w:tmpl w:val="A476EFD8"/>
    <w:lvl w:ilvl="0" w:tplc="04080001">
      <w:start w:val="1"/>
      <w:numFmt w:val="bullet"/>
      <w:lvlText w:val=""/>
      <w:lvlJc w:val="left"/>
      <w:pPr>
        <w:ind w:left="774" w:hanging="360"/>
      </w:pPr>
      <w:rPr>
        <w:rFonts w:ascii="Symbol" w:hAnsi="Symbol" w:hint="default"/>
      </w:rPr>
    </w:lvl>
    <w:lvl w:ilvl="1" w:tplc="04080003">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6" w15:restartNumberingAfterBreak="0">
    <w:nsid w:val="6A9C421B"/>
    <w:multiLevelType w:val="hybridMultilevel"/>
    <w:tmpl w:val="3034A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AF46304"/>
    <w:multiLevelType w:val="hybridMultilevel"/>
    <w:tmpl w:val="A880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8936EA5"/>
    <w:multiLevelType w:val="hybridMultilevel"/>
    <w:tmpl w:val="E26E1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12"/>
  </w:num>
  <w:num w:numId="5">
    <w:abstractNumId w:val="16"/>
  </w:num>
  <w:num w:numId="6">
    <w:abstractNumId w:val="5"/>
  </w:num>
  <w:num w:numId="7">
    <w:abstractNumId w:val="13"/>
  </w:num>
  <w:num w:numId="8">
    <w:abstractNumId w:val="14"/>
  </w:num>
  <w:num w:numId="9">
    <w:abstractNumId w:val="3"/>
  </w:num>
  <w:num w:numId="10">
    <w:abstractNumId w:val="18"/>
  </w:num>
  <w:num w:numId="11">
    <w:abstractNumId w:val="15"/>
  </w:num>
  <w:num w:numId="12">
    <w:abstractNumId w:val="9"/>
  </w:num>
  <w:num w:numId="13">
    <w:abstractNumId w:val="2"/>
  </w:num>
  <w:num w:numId="14">
    <w:abstractNumId w:val="8"/>
  </w:num>
  <w:num w:numId="15">
    <w:abstractNumId w:val="10"/>
  </w:num>
  <w:num w:numId="16">
    <w:abstractNumId w:val="4"/>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846"/>
    <w:rsid w:val="00001FA2"/>
    <w:rsid w:val="00002CA7"/>
    <w:rsid w:val="000038E8"/>
    <w:rsid w:val="00003AF3"/>
    <w:rsid w:val="00003B83"/>
    <w:rsid w:val="00003E7D"/>
    <w:rsid w:val="00004132"/>
    <w:rsid w:val="000046CC"/>
    <w:rsid w:val="000048CD"/>
    <w:rsid w:val="00005975"/>
    <w:rsid w:val="000061BC"/>
    <w:rsid w:val="00006369"/>
    <w:rsid w:val="00007AB1"/>
    <w:rsid w:val="00011AC2"/>
    <w:rsid w:val="00012972"/>
    <w:rsid w:val="000129E6"/>
    <w:rsid w:val="00014099"/>
    <w:rsid w:val="00014BC9"/>
    <w:rsid w:val="00017527"/>
    <w:rsid w:val="00020E7B"/>
    <w:rsid w:val="0002134F"/>
    <w:rsid w:val="00024500"/>
    <w:rsid w:val="000262CF"/>
    <w:rsid w:val="000263B8"/>
    <w:rsid w:val="000268CC"/>
    <w:rsid w:val="000275FD"/>
    <w:rsid w:val="00030228"/>
    <w:rsid w:val="00033025"/>
    <w:rsid w:val="00033BD0"/>
    <w:rsid w:val="00033C6F"/>
    <w:rsid w:val="0003403C"/>
    <w:rsid w:val="00034326"/>
    <w:rsid w:val="00036278"/>
    <w:rsid w:val="00036C9F"/>
    <w:rsid w:val="000371FE"/>
    <w:rsid w:val="0003754B"/>
    <w:rsid w:val="0003780F"/>
    <w:rsid w:val="00041061"/>
    <w:rsid w:val="000417CF"/>
    <w:rsid w:val="000426BD"/>
    <w:rsid w:val="00042B29"/>
    <w:rsid w:val="000435CB"/>
    <w:rsid w:val="000439A3"/>
    <w:rsid w:val="00043F75"/>
    <w:rsid w:val="00044B79"/>
    <w:rsid w:val="0004598E"/>
    <w:rsid w:val="00046881"/>
    <w:rsid w:val="0004768D"/>
    <w:rsid w:val="00047F2B"/>
    <w:rsid w:val="00050885"/>
    <w:rsid w:val="0005104D"/>
    <w:rsid w:val="0005295B"/>
    <w:rsid w:val="00053542"/>
    <w:rsid w:val="00053F64"/>
    <w:rsid w:val="000544AC"/>
    <w:rsid w:val="0005626E"/>
    <w:rsid w:val="000564DE"/>
    <w:rsid w:val="000614BC"/>
    <w:rsid w:val="00063D3D"/>
    <w:rsid w:val="00064F7A"/>
    <w:rsid w:val="00067947"/>
    <w:rsid w:val="00071BD7"/>
    <w:rsid w:val="00071C9D"/>
    <w:rsid w:val="00072809"/>
    <w:rsid w:val="00073A7B"/>
    <w:rsid w:val="00073ACF"/>
    <w:rsid w:val="000748D9"/>
    <w:rsid w:val="00076103"/>
    <w:rsid w:val="00076798"/>
    <w:rsid w:val="00081704"/>
    <w:rsid w:val="00082CBA"/>
    <w:rsid w:val="00082D1F"/>
    <w:rsid w:val="00082E83"/>
    <w:rsid w:val="000831F0"/>
    <w:rsid w:val="0008325E"/>
    <w:rsid w:val="00083CF2"/>
    <w:rsid w:val="000901EE"/>
    <w:rsid w:val="000908D0"/>
    <w:rsid w:val="0009240F"/>
    <w:rsid w:val="00093D9F"/>
    <w:rsid w:val="0009435E"/>
    <w:rsid w:val="00094C9E"/>
    <w:rsid w:val="000952C2"/>
    <w:rsid w:val="000975B7"/>
    <w:rsid w:val="00097BAC"/>
    <w:rsid w:val="000A0165"/>
    <w:rsid w:val="000A0E01"/>
    <w:rsid w:val="000A1191"/>
    <w:rsid w:val="000A1A50"/>
    <w:rsid w:val="000A34CC"/>
    <w:rsid w:val="000A385A"/>
    <w:rsid w:val="000A3E4C"/>
    <w:rsid w:val="000A462C"/>
    <w:rsid w:val="000A4791"/>
    <w:rsid w:val="000A6B22"/>
    <w:rsid w:val="000B0B0D"/>
    <w:rsid w:val="000B0D4A"/>
    <w:rsid w:val="000B1A75"/>
    <w:rsid w:val="000B2A2F"/>
    <w:rsid w:val="000B2ACB"/>
    <w:rsid w:val="000B33E3"/>
    <w:rsid w:val="000B34AF"/>
    <w:rsid w:val="000B34FE"/>
    <w:rsid w:val="000B3C6B"/>
    <w:rsid w:val="000B3D66"/>
    <w:rsid w:val="000B3E70"/>
    <w:rsid w:val="000B627B"/>
    <w:rsid w:val="000B71B1"/>
    <w:rsid w:val="000C0017"/>
    <w:rsid w:val="000C2A0D"/>
    <w:rsid w:val="000C37F6"/>
    <w:rsid w:val="000C398F"/>
    <w:rsid w:val="000C46E6"/>
    <w:rsid w:val="000C570D"/>
    <w:rsid w:val="000C6BC0"/>
    <w:rsid w:val="000C6FDE"/>
    <w:rsid w:val="000C7268"/>
    <w:rsid w:val="000C72C7"/>
    <w:rsid w:val="000D05B1"/>
    <w:rsid w:val="000D1C5F"/>
    <w:rsid w:val="000D3B0B"/>
    <w:rsid w:val="000D3B3F"/>
    <w:rsid w:val="000D3F4E"/>
    <w:rsid w:val="000D457E"/>
    <w:rsid w:val="000D5094"/>
    <w:rsid w:val="000D5C0D"/>
    <w:rsid w:val="000D654B"/>
    <w:rsid w:val="000D68DC"/>
    <w:rsid w:val="000D7A4B"/>
    <w:rsid w:val="000E429F"/>
    <w:rsid w:val="000E5E14"/>
    <w:rsid w:val="000E7FE0"/>
    <w:rsid w:val="000F1B8C"/>
    <w:rsid w:val="000F2D44"/>
    <w:rsid w:val="000F39EA"/>
    <w:rsid w:val="000F5B4E"/>
    <w:rsid w:val="000F60D0"/>
    <w:rsid w:val="0010172E"/>
    <w:rsid w:val="00101B6F"/>
    <w:rsid w:val="00102031"/>
    <w:rsid w:val="0010395E"/>
    <w:rsid w:val="001042E7"/>
    <w:rsid w:val="0010708D"/>
    <w:rsid w:val="00110381"/>
    <w:rsid w:val="00110B7D"/>
    <w:rsid w:val="0011316D"/>
    <w:rsid w:val="00115ED9"/>
    <w:rsid w:val="001165C7"/>
    <w:rsid w:val="0011705A"/>
    <w:rsid w:val="001172AF"/>
    <w:rsid w:val="00117C9F"/>
    <w:rsid w:val="001202AC"/>
    <w:rsid w:val="001222EE"/>
    <w:rsid w:val="001222FA"/>
    <w:rsid w:val="0012247C"/>
    <w:rsid w:val="0012359B"/>
    <w:rsid w:val="00123C75"/>
    <w:rsid w:val="00125951"/>
    <w:rsid w:val="00125F40"/>
    <w:rsid w:val="00126059"/>
    <w:rsid w:val="001275C3"/>
    <w:rsid w:val="001278B7"/>
    <w:rsid w:val="00132BB5"/>
    <w:rsid w:val="00134978"/>
    <w:rsid w:val="00134A4C"/>
    <w:rsid w:val="00135757"/>
    <w:rsid w:val="0013587E"/>
    <w:rsid w:val="00135F46"/>
    <w:rsid w:val="00136025"/>
    <w:rsid w:val="0013735C"/>
    <w:rsid w:val="001402FF"/>
    <w:rsid w:val="00140DEC"/>
    <w:rsid w:val="001415A2"/>
    <w:rsid w:val="00141F97"/>
    <w:rsid w:val="0014432E"/>
    <w:rsid w:val="0014792D"/>
    <w:rsid w:val="00150362"/>
    <w:rsid w:val="001512B7"/>
    <w:rsid w:val="00151397"/>
    <w:rsid w:val="001515D4"/>
    <w:rsid w:val="00152CD5"/>
    <w:rsid w:val="001555CA"/>
    <w:rsid w:val="00156FCA"/>
    <w:rsid w:val="00157ECC"/>
    <w:rsid w:val="0016025A"/>
    <w:rsid w:val="0016142C"/>
    <w:rsid w:val="00161526"/>
    <w:rsid w:val="001628C4"/>
    <w:rsid w:val="001630D5"/>
    <w:rsid w:val="00163356"/>
    <w:rsid w:val="0016411D"/>
    <w:rsid w:val="001667B5"/>
    <w:rsid w:val="00167013"/>
    <w:rsid w:val="00167707"/>
    <w:rsid w:val="00167E20"/>
    <w:rsid w:val="001727E0"/>
    <w:rsid w:val="00173BBA"/>
    <w:rsid w:val="00173F9D"/>
    <w:rsid w:val="0017639A"/>
    <w:rsid w:val="001769F5"/>
    <w:rsid w:val="00176F9B"/>
    <w:rsid w:val="0018015F"/>
    <w:rsid w:val="001834F6"/>
    <w:rsid w:val="00183B74"/>
    <w:rsid w:val="001845E5"/>
    <w:rsid w:val="00184990"/>
    <w:rsid w:val="001853CC"/>
    <w:rsid w:val="001857FF"/>
    <w:rsid w:val="00186B22"/>
    <w:rsid w:val="00186E1C"/>
    <w:rsid w:val="001871DD"/>
    <w:rsid w:val="001872B3"/>
    <w:rsid w:val="00187A03"/>
    <w:rsid w:val="00190132"/>
    <w:rsid w:val="00192266"/>
    <w:rsid w:val="00192541"/>
    <w:rsid w:val="00193A8D"/>
    <w:rsid w:val="001955B0"/>
    <w:rsid w:val="00196FB1"/>
    <w:rsid w:val="001A07EA"/>
    <w:rsid w:val="001A0F07"/>
    <w:rsid w:val="001A127D"/>
    <w:rsid w:val="001A2481"/>
    <w:rsid w:val="001A4946"/>
    <w:rsid w:val="001A6491"/>
    <w:rsid w:val="001A7858"/>
    <w:rsid w:val="001B12B0"/>
    <w:rsid w:val="001B4CAD"/>
    <w:rsid w:val="001B5150"/>
    <w:rsid w:val="001B7A8A"/>
    <w:rsid w:val="001C1769"/>
    <w:rsid w:val="001C2677"/>
    <w:rsid w:val="001C2978"/>
    <w:rsid w:val="001C4333"/>
    <w:rsid w:val="001C436B"/>
    <w:rsid w:val="001C55C2"/>
    <w:rsid w:val="001C6CAD"/>
    <w:rsid w:val="001C7851"/>
    <w:rsid w:val="001D0B2E"/>
    <w:rsid w:val="001D1016"/>
    <w:rsid w:val="001D1EAE"/>
    <w:rsid w:val="001D1EE3"/>
    <w:rsid w:val="001D2554"/>
    <w:rsid w:val="001D3E14"/>
    <w:rsid w:val="001D40DE"/>
    <w:rsid w:val="001D6731"/>
    <w:rsid w:val="001D7445"/>
    <w:rsid w:val="001D7BF7"/>
    <w:rsid w:val="001D7E83"/>
    <w:rsid w:val="001E0957"/>
    <w:rsid w:val="001E1A72"/>
    <w:rsid w:val="001E30BC"/>
    <w:rsid w:val="001E369A"/>
    <w:rsid w:val="001E3826"/>
    <w:rsid w:val="001E4D5B"/>
    <w:rsid w:val="001E54D5"/>
    <w:rsid w:val="001E55F2"/>
    <w:rsid w:val="001E6517"/>
    <w:rsid w:val="001E6694"/>
    <w:rsid w:val="001E6FEF"/>
    <w:rsid w:val="001E7C48"/>
    <w:rsid w:val="001F2298"/>
    <w:rsid w:val="001F353B"/>
    <w:rsid w:val="001F40C1"/>
    <w:rsid w:val="001F452B"/>
    <w:rsid w:val="001F4BCD"/>
    <w:rsid w:val="001F5301"/>
    <w:rsid w:val="001F5A5F"/>
    <w:rsid w:val="001F6BF6"/>
    <w:rsid w:val="001F70FF"/>
    <w:rsid w:val="001F7FC1"/>
    <w:rsid w:val="00202E19"/>
    <w:rsid w:val="00203196"/>
    <w:rsid w:val="00204497"/>
    <w:rsid w:val="00205587"/>
    <w:rsid w:val="00205D12"/>
    <w:rsid w:val="00207276"/>
    <w:rsid w:val="0020738E"/>
    <w:rsid w:val="002076A6"/>
    <w:rsid w:val="00207BDD"/>
    <w:rsid w:val="002104C0"/>
    <w:rsid w:val="0021091E"/>
    <w:rsid w:val="00211928"/>
    <w:rsid w:val="00212568"/>
    <w:rsid w:val="002147B6"/>
    <w:rsid w:val="00214999"/>
    <w:rsid w:val="00214D58"/>
    <w:rsid w:val="00216397"/>
    <w:rsid w:val="00216753"/>
    <w:rsid w:val="00216D95"/>
    <w:rsid w:val="002221FF"/>
    <w:rsid w:val="002229EA"/>
    <w:rsid w:val="00224075"/>
    <w:rsid w:val="0022409A"/>
    <w:rsid w:val="002246D7"/>
    <w:rsid w:val="00224726"/>
    <w:rsid w:val="0022751B"/>
    <w:rsid w:val="0022772A"/>
    <w:rsid w:val="00227EC0"/>
    <w:rsid w:val="00233443"/>
    <w:rsid w:val="002340BF"/>
    <w:rsid w:val="002346E0"/>
    <w:rsid w:val="002405AB"/>
    <w:rsid w:val="00240B07"/>
    <w:rsid w:val="00242226"/>
    <w:rsid w:val="00243B13"/>
    <w:rsid w:val="00244BFA"/>
    <w:rsid w:val="00245481"/>
    <w:rsid w:val="00245C2D"/>
    <w:rsid w:val="00245EE3"/>
    <w:rsid w:val="002466A2"/>
    <w:rsid w:val="002474DE"/>
    <w:rsid w:val="002479FC"/>
    <w:rsid w:val="00250F73"/>
    <w:rsid w:val="00250FB0"/>
    <w:rsid w:val="00251FFD"/>
    <w:rsid w:val="00253858"/>
    <w:rsid w:val="002545A4"/>
    <w:rsid w:val="00255302"/>
    <w:rsid w:val="002562A4"/>
    <w:rsid w:val="00256607"/>
    <w:rsid w:val="002569FB"/>
    <w:rsid w:val="00257C56"/>
    <w:rsid w:val="00260080"/>
    <w:rsid w:val="00260DB5"/>
    <w:rsid w:val="00261D58"/>
    <w:rsid w:val="00261EA1"/>
    <w:rsid w:val="0026252D"/>
    <w:rsid w:val="00264501"/>
    <w:rsid w:val="00264C17"/>
    <w:rsid w:val="00265771"/>
    <w:rsid w:val="0026611E"/>
    <w:rsid w:val="002661AB"/>
    <w:rsid w:val="00266D66"/>
    <w:rsid w:val="002671B1"/>
    <w:rsid w:val="00267558"/>
    <w:rsid w:val="00267C96"/>
    <w:rsid w:val="00270845"/>
    <w:rsid w:val="0027198E"/>
    <w:rsid w:val="002725A5"/>
    <w:rsid w:val="00273215"/>
    <w:rsid w:val="002732D7"/>
    <w:rsid w:val="00273620"/>
    <w:rsid w:val="00281193"/>
    <w:rsid w:val="0028157D"/>
    <w:rsid w:val="0028303F"/>
    <w:rsid w:val="0028493E"/>
    <w:rsid w:val="0028594F"/>
    <w:rsid w:val="00285B89"/>
    <w:rsid w:val="00287D2D"/>
    <w:rsid w:val="002904BC"/>
    <w:rsid w:val="00291948"/>
    <w:rsid w:val="002928C0"/>
    <w:rsid w:val="002938E6"/>
    <w:rsid w:val="00295E24"/>
    <w:rsid w:val="002A17D6"/>
    <w:rsid w:val="002A2E47"/>
    <w:rsid w:val="002A3712"/>
    <w:rsid w:val="002A3945"/>
    <w:rsid w:val="002A66F6"/>
    <w:rsid w:val="002B014F"/>
    <w:rsid w:val="002B13AA"/>
    <w:rsid w:val="002B2034"/>
    <w:rsid w:val="002B3580"/>
    <w:rsid w:val="002B4354"/>
    <w:rsid w:val="002B4A3B"/>
    <w:rsid w:val="002B5ACC"/>
    <w:rsid w:val="002B6331"/>
    <w:rsid w:val="002B7203"/>
    <w:rsid w:val="002C0705"/>
    <w:rsid w:val="002C07AF"/>
    <w:rsid w:val="002C09BC"/>
    <w:rsid w:val="002C196A"/>
    <w:rsid w:val="002C329F"/>
    <w:rsid w:val="002C3862"/>
    <w:rsid w:val="002C427F"/>
    <w:rsid w:val="002C55B7"/>
    <w:rsid w:val="002C640A"/>
    <w:rsid w:val="002C73E3"/>
    <w:rsid w:val="002C7B31"/>
    <w:rsid w:val="002C7BCE"/>
    <w:rsid w:val="002D155F"/>
    <w:rsid w:val="002D2250"/>
    <w:rsid w:val="002D2509"/>
    <w:rsid w:val="002D38B1"/>
    <w:rsid w:val="002D5EF4"/>
    <w:rsid w:val="002D6A0B"/>
    <w:rsid w:val="002D765B"/>
    <w:rsid w:val="002D7DE9"/>
    <w:rsid w:val="002E0690"/>
    <w:rsid w:val="002E0B4C"/>
    <w:rsid w:val="002E1007"/>
    <w:rsid w:val="002E2913"/>
    <w:rsid w:val="002E2E8A"/>
    <w:rsid w:val="002E54EB"/>
    <w:rsid w:val="002E5A0E"/>
    <w:rsid w:val="002E6034"/>
    <w:rsid w:val="002E61C5"/>
    <w:rsid w:val="002E61F5"/>
    <w:rsid w:val="002E7AC3"/>
    <w:rsid w:val="002F0109"/>
    <w:rsid w:val="002F0262"/>
    <w:rsid w:val="002F0F07"/>
    <w:rsid w:val="002F2141"/>
    <w:rsid w:val="002F6679"/>
    <w:rsid w:val="00301B77"/>
    <w:rsid w:val="003037B1"/>
    <w:rsid w:val="00304BB3"/>
    <w:rsid w:val="00305871"/>
    <w:rsid w:val="0030733A"/>
    <w:rsid w:val="00307983"/>
    <w:rsid w:val="0031019E"/>
    <w:rsid w:val="003116CF"/>
    <w:rsid w:val="0031224D"/>
    <w:rsid w:val="00313D0C"/>
    <w:rsid w:val="0031449C"/>
    <w:rsid w:val="00315CDB"/>
    <w:rsid w:val="00315CF6"/>
    <w:rsid w:val="00320565"/>
    <w:rsid w:val="00320901"/>
    <w:rsid w:val="0032120C"/>
    <w:rsid w:val="0032237C"/>
    <w:rsid w:val="003228A5"/>
    <w:rsid w:val="00323232"/>
    <w:rsid w:val="00323299"/>
    <w:rsid w:val="00323C8B"/>
    <w:rsid w:val="003240E6"/>
    <w:rsid w:val="0032485B"/>
    <w:rsid w:val="00324E61"/>
    <w:rsid w:val="00325C72"/>
    <w:rsid w:val="003312C7"/>
    <w:rsid w:val="00331559"/>
    <w:rsid w:val="00331672"/>
    <w:rsid w:val="00332C0C"/>
    <w:rsid w:val="00336332"/>
    <w:rsid w:val="00336986"/>
    <w:rsid w:val="003377C3"/>
    <w:rsid w:val="00340BC0"/>
    <w:rsid w:val="00340F0F"/>
    <w:rsid w:val="00341FFF"/>
    <w:rsid w:val="003425E8"/>
    <w:rsid w:val="00344947"/>
    <w:rsid w:val="00346EB4"/>
    <w:rsid w:val="00347BE7"/>
    <w:rsid w:val="0035029C"/>
    <w:rsid w:val="003532CC"/>
    <w:rsid w:val="00354C5E"/>
    <w:rsid w:val="003551D2"/>
    <w:rsid w:val="00356245"/>
    <w:rsid w:val="00356263"/>
    <w:rsid w:val="0035659E"/>
    <w:rsid w:val="00356DAF"/>
    <w:rsid w:val="003605AA"/>
    <w:rsid w:val="003607A4"/>
    <w:rsid w:val="00361A44"/>
    <w:rsid w:val="003626E1"/>
    <w:rsid w:val="00362D84"/>
    <w:rsid w:val="00362FCD"/>
    <w:rsid w:val="00363BEA"/>
    <w:rsid w:val="00363F4B"/>
    <w:rsid w:val="00364979"/>
    <w:rsid w:val="00367363"/>
    <w:rsid w:val="0036794E"/>
    <w:rsid w:val="00367E33"/>
    <w:rsid w:val="00372964"/>
    <w:rsid w:val="0037347B"/>
    <w:rsid w:val="003737CE"/>
    <w:rsid w:val="003768C4"/>
    <w:rsid w:val="003769E0"/>
    <w:rsid w:val="00377B88"/>
    <w:rsid w:val="00380F1B"/>
    <w:rsid w:val="00381A01"/>
    <w:rsid w:val="00383BE4"/>
    <w:rsid w:val="00384087"/>
    <w:rsid w:val="0038550B"/>
    <w:rsid w:val="003871CC"/>
    <w:rsid w:val="00387FF4"/>
    <w:rsid w:val="00391D96"/>
    <w:rsid w:val="003942E0"/>
    <w:rsid w:val="00396246"/>
    <w:rsid w:val="003970A8"/>
    <w:rsid w:val="0039754F"/>
    <w:rsid w:val="003A04B1"/>
    <w:rsid w:val="003A128A"/>
    <w:rsid w:val="003A2324"/>
    <w:rsid w:val="003A28B6"/>
    <w:rsid w:val="003A3328"/>
    <w:rsid w:val="003A3360"/>
    <w:rsid w:val="003A4785"/>
    <w:rsid w:val="003A6BB5"/>
    <w:rsid w:val="003A6C04"/>
    <w:rsid w:val="003A7FBE"/>
    <w:rsid w:val="003B04FE"/>
    <w:rsid w:val="003B3443"/>
    <w:rsid w:val="003B56EB"/>
    <w:rsid w:val="003B594D"/>
    <w:rsid w:val="003B6604"/>
    <w:rsid w:val="003B68A6"/>
    <w:rsid w:val="003B6A95"/>
    <w:rsid w:val="003C0512"/>
    <w:rsid w:val="003C0FD3"/>
    <w:rsid w:val="003C2716"/>
    <w:rsid w:val="003C2900"/>
    <w:rsid w:val="003C2D04"/>
    <w:rsid w:val="003C30BB"/>
    <w:rsid w:val="003C4940"/>
    <w:rsid w:val="003C4FD5"/>
    <w:rsid w:val="003C5089"/>
    <w:rsid w:val="003C5EC2"/>
    <w:rsid w:val="003C60AF"/>
    <w:rsid w:val="003C6A93"/>
    <w:rsid w:val="003C722C"/>
    <w:rsid w:val="003C728A"/>
    <w:rsid w:val="003C7A4A"/>
    <w:rsid w:val="003D057C"/>
    <w:rsid w:val="003D161F"/>
    <w:rsid w:val="003D182B"/>
    <w:rsid w:val="003D2883"/>
    <w:rsid w:val="003D2E4C"/>
    <w:rsid w:val="003D3001"/>
    <w:rsid w:val="003D49BC"/>
    <w:rsid w:val="003D4C9A"/>
    <w:rsid w:val="003E21D9"/>
    <w:rsid w:val="003E4CB2"/>
    <w:rsid w:val="003E64E6"/>
    <w:rsid w:val="003E788A"/>
    <w:rsid w:val="003E7B61"/>
    <w:rsid w:val="003F04E4"/>
    <w:rsid w:val="003F111F"/>
    <w:rsid w:val="003F1DF0"/>
    <w:rsid w:val="003F1E98"/>
    <w:rsid w:val="003F310D"/>
    <w:rsid w:val="003F35CB"/>
    <w:rsid w:val="003F3B86"/>
    <w:rsid w:val="003F4657"/>
    <w:rsid w:val="003F5799"/>
    <w:rsid w:val="003F6B3F"/>
    <w:rsid w:val="00400054"/>
    <w:rsid w:val="0040153E"/>
    <w:rsid w:val="004026BE"/>
    <w:rsid w:val="00402FA5"/>
    <w:rsid w:val="00404193"/>
    <w:rsid w:val="00405685"/>
    <w:rsid w:val="00405F75"/>
    <w:rsid w:val="00407E8A"/>
    <w:rsid w:val="00410BB0"/>
    <w:rsid w:val="00412ED6"/>
    <w:rsid w:val="00415389"/>
    <w:rsid w:val="00415535"/>
    <w:rsid w:val="0041612A"/>
    <w:rsid w:val="00416583"/>
    <w:rsid w:val="0041765F"/>
    <w:rsid w:val="004208EC"/>
    <w:rsid w:val="00420F5A"/>
    <w:rsid w:val="004213BC"/>
    <w:rsid w:val="00421928"/>
    <w:rsid w:val="0042301B"/>
    <w:rsid w:val="00425335"/>
    <w:rsid w:val="00426931"/>
    <w:rsid w:val="004275BB"/>
    <w:rsid w:val="004305C1"/>
    <w:rsid w:val="00430C68"/>
    <w:rsid w:val="004311BD"/>
    <w:rsid w:val="00431E16"/>
    <w:rsid w:val="00432866"/>
    <w:rsid w:val="00432BA1"/>
    <w:rsid w:val="00432C71"/>
    <w:rsid w:val="0043398F"/>
    <w:rsid w:val="0043459D"/>
    <w:rsid w:val="00436BD7"/>
    <w:rsid w:val="0044033E"/>
    <w:rsid w:val="004421E5"/>
    <w:rsid w:val="004422E3"/>
    <w:rsid w:val="00443CB8"/>
    <w:rsid w:val="00443F8E"/>
    <w:rsid w:val="00444E9E"/>
    <w:rsid w:val="0044507F"/>
    <w:rsid w:val="00446278"/>
    <w:rsid w:val="0044675A"/>
    <w:rsid w:val="0044685C"/>
    <w:rsid w:val="0044693A"/>
    <w:rsid w:val="00447FC4"/>
    <w:rsid w:val="00452B37"/>
    <w:rsid w:val="0045387F"/>
    <w:rsid w:val="00453DB7"/>
    <w:rsid w:val="0045759A"/>
    <w:rsid w:val="00461479"/>
    <w:rsid w:val="0046298C"/>
    <w:rsid w:val="00462B54"/>
    <w:rsid w:val="004636DB"/>
    <w:rsid w:val="00465096"/>
    <w:rsid w:val="00467C1A"/>
    <w:rsid w:val="004701EF"/>
    <w:rsid w:val="0047024F"/>
    <w:rsid w:val="00470670"/>
    <w:rsid w:val="00470C0C"/>
    <w:rsid w:val="0047194D"/>
    <w:rsid w:val="0047197B"/>
    <w:rsid w:val="00472C4E"/>
    <w:rsid w:val="00474639"/>
    <w:rsid w:val="0047467E"/>
    <w:rsid w:val="00474DD1"/>
    <w:rsid w:val="00476C30"/>
    <w:rsid w:val="004770C1"/>
    <w:rsid w:val="0047741C"/>
    <w:rsid w:val="00477B5B"/>
    <w:rsid w:val="00477B90"/>
    <w:rsid w:val="00480004"/>
    <w:rsid w:val="00480D2F"/>
    <w:rsid w:val="00484819"/>
    <w:rsid w:val="004856C8"/>
    <w:rsid w:val="00485746"/>
    <w:rsid w:val="004868D8"/>
    <w:rsid w:val="00486C3F"/>
    <w:rsid w:val="00486F04"/>
    <w:rsid w:val="0049303C"/>
    <w:rsid w:val="00494B40"/>
    <w:rsid w:val="00497E3F"/>
    <w:rsid w:val="004A1274"/>
    <w:rsid w:val="004A1DA1"/>
    <w:rsid w:val="004A28F8"/>
    <w:rsid w:val="004A29A4"/>
    <w:rsid w:val="004A2EDA"/>
    <w:rsid w:val="004A36C8"/>
    <w:rsid w:val="004A4314"/>
    <w:rsid w:val="004A5AF3"/>
    <w:rsid w:val="004A5B90"/>
    <w:rsid w:val="004A6453"/>
    <w:rsid w:val="004A7E75"/>
    <w:rsid w:val="004B0578"/>
    <w:rsid w:val="004B05F0"/>
    <w:rsid w:val="004B0D06"/>
    <w:rsid w:val="004B11FE"/>
    <w:rsid w:val="004B332F"/>
    <w:rsid w:val="004B4485"/>
    <w:rsid w:val="004B5052"/>
    <w:rsid w:val="004B6A5A"/>
    <w:rsid w:val="004B6DE9"/>
    <w:rsid w:val="004C0531"/>
    <w:rsid w:val="004C1FC9"/>
    <w:rsid w:val="004C3FDC"/>
    <w:rsid w:val="004C42C5"/>
    <w:rsid w:val="004C5BC0"/>
    <w:rsid w:val="004C5FB0"/>
    <w:rsid w:val="004C6532"/>
    <w:rsid w:val="004D01E5"/>
    <w:rsid w:val="004D0C60"/>
    <w:rsid w:val="004D2E4D"/>
    <w:rsid w:val="004D39C2"/>
    <w:rsid w:val="004D4EAA"/>
    <w:rsid w:val="004D553D"/>
    <w:rsid w:val="004D569F"/>
    <w:rsid w:val="004D5AB7"/>
    <w:rsid w:val="004D7176"/>
    <w:rsid w:val="004D7CD3"/>
    <w:rsid w:val="004E0B7E"/>
    <w:rsid w:val="004E2F2C"/>
    <w:rsid w:val="004E352A"/>
    <w:rsid w:val="004E558C"/>
    <w:rsid w:val="004E5682"/>
    <w:rsid w:val="004E61E7"/>
    <w:rsid w:val="004E69E9"/>
    <w:rsid w:val="004E6C31"/>
    <w:rsid w:val="004E7810"/>
    <w:rsid w:val="004F0EDB"/>
    <w:rsid w:val="004F169A"/>
    <w:rsid w:val="004F1F11"/>
    <w:rsid w:val="004F2246"/>
    <w:rsid w:val="004F34A1"/>
    <w:rsid w:val="004F3554"/>
    <w:rsid w:val="004F40E8"/>
    <w:rsid w:val="004F4F20"/>
    <w:rsid w:val="004F586E"/>
    <w:rsid w:val="004F61CF"/>
    <w:rsid w:val="004F70E9"/>
    <w:rsid w:val="00500317"/>
    <w:rsid w:val="005009D9"/>
    <w:rsid w:val="005011FE"/>
    <w:rsid w:val="00501231"/>
    <w:rsid w:val="0050219E"/>
    <w:rsid w:val="005040A9"/>
    <w:rsid w:val="00504220"/>
    <w:rsid w:val="005058D4"/>
    <w:rsid w:val="00505CCB"/>
    <w:rsid w:val="0051116F"/>
    <w:rsid w:val="00511ED0"/>
    <w:rsid w:val="005122F8"/>
    <w:rsid w:val="00513282"/>
    <w:rsid w:val="00513743"/>
    <w:rsid w:val="005145B1"/>
    <w:rsid w:val="005153B4"/>
    <w:rsid w:val="005167C9"/>
    <w:rsid w:val="005177B5"/>
    <w:rsid w:val="00522B02"/>
    <w:rsid w:val="00524B70"/>
    <w:rsid w:val="0052669D"/>
    <w:rsid w:val="00530D3D"/>
    <w:rsid w:val="005310DB"/>
    <w:rsid w:val="00531B4F"/>
    <w:rsid w:val="0053369F"/>
    <w:rsid w:val="00533A37"/>
    <w:rsid w:val="00533F8A"/>
    <w:rsid w:val="00534E42"/>
    <w:rsid w:val="005352B5"/>
    <w:rsid w:val="0053631F"/>
    <w:rsid w:val="0053639F"/>
    <w:rsid w:val="00536994"/>
    <w:rsid w:val="00536DA1"/>
    <w:rsid w:val="00537E36"/>
    <w:rsid w:val="00537E81"/>
    <w:rsid w:val="00541A2D"/>
    <w:rsid w:val="005442EE"/>
    <w:rsid w:val="005457F6"/>
    <w:rsid w:val="0054665B"/>
    <w:rsid w:val="00546768"/>
    <w:rsid w:val="005477BF"/>
    <w:rsid w:val="005506DB"/>
    <w:rsid w:val="00550EA0"/>
    <w:rsid w:val="00551714"/>
    <w:rsid w:val="005517F1"/>
    <w:rsid w:val="00552A07"/>
    <w:rsid w:val="00552F6B"/>
    <w:rsid w:val="0055376D"/>
    <w:rsid w:val="005546C1"/>
    <w:rsid w:val="005546E5"/>
    <w:rsid w:val="0055508B"/>
    <w:rsid w:val="00555CFC"/>
    <w:rsid w:val="00556BFB"/>
    <w:rsid w:val="005572EE"/>
    <w:rsid w:val="00560705"/>
    <w:rsid w:val="005609D1"/>
    <w:rsid w:val="0056106D"/>
    <w:rsid w:val="00561256"/>
    <w:rsid w:val="005623CA"/>
    <w:rsid w:val="00562FE5"/>
    <w:rsid w:val="00563667"/>
    <w:rsid w:val="00570539"/>
    <w:rsid w:val="00570B12"/>
    <w:rsid w:val="005721C8"/>
    <w:rsid w:val="005743C5"/>
    <w:rsid w:val="00574F49"/>
    <w:rsid w:val="00575197"/>
    <w:rsid w:val="00576F35"/>
    <w:rsid w:val="00580C48"/>
    <w:rsid w:val="00581AF9"/>
    <w:rsid w:val="00583A39"/>
    <w:rsid w:val="00583AD3"/>
    <w:rsid w:val="00585274"/>
    <w:rsid w:val="00586582"/>
    <w:rsid w:val="0058770F"/>
    <w:rsid w:val="00587FC2"/>
    <w:rsid w:val="0059048B"/>
    <w:rsid w:val="00592724"/>
    <w:rsid w:val="00593D91"/>
    <w:rsid w:val="00593F37"/>
    <w:rsid w:val="00594043"/>
    <w:rsid w:val="00594B95"/>
    <w:rsid w:val="0059518D"/>
    <w:rsid w:val="00596421"/>
    <w:rsid w:val="00596FBD"/>
    <w:rsid w:val="00597CE0"/>
    <w:rsid w:val="005A00E1"/>
    <w:rsid w:val="005A1100"/>
    <w:rsid w:val="005A309B"/>
    <w:rsid w:val="005A43D1"/>
    <w:rsid w:val="005A460D"/>
    <w:rsid w:val="005A5369"/>
    <w:rsid w:val="005A5A67"/>
    <w:rsid w:val="005A5CA5"/>
    <w:rsid w:val="005A6F27"/>
    <w:rsid w:val="005A7678"/>
    <w:rsid w:val="005B07D5"/>
    <w:rsid w:val="005B11A9"/>
    <w:rsid w:val="005B1305"/>
    <w:rsid w:val="005B13E3"/>
    <w:rsid w:val="005B258A"/>
    <w:rsid w:val="005B30D7"/>
    <w:rsid w:val="005B59AF"/>
    <w:rsid w:val="005B5E94"/>
    <w:rsid w:val="005B6328"/>
    <w:rsid w:val="005B6D9B"/>
    <w:rsid w:val="005B7BF4"/>
    <w:rsid w:val="005B7E50"/>
    <w:rsid w:val="005C05E1"/>
    <w:rsid w:val="005C06E8"/>
    <w:rsid w:val="005C087C"/>
    <w:rsid w:val="005C0ED0"/>
    <w:rsid w:val="005C2950"/>
    <w:rsid w:val="005C2D49"/>
    <w:rsid w:val="005C3A37"/>
    <w:rsid w:val="005C3B7B"/>
    <w:rsid w:val="005C41E3"/>
    <w:rsid w:val="005C45CE"/>
    <w:rsid w:val="005C5924"/>
    <w:rsid w:val="005D4F46"/>
    <w:rsid w:val="005D55A9"/>
    <w:rsid w:val="005D658E"/>
    <w:rsid w:val="005D778C"/>
    <w:rsid w:val="005E1226"/>
    <w:rsid w:val="005E1356"/>
    <w:rsid w:val="005E22A8"/>
    <w:rsid w:val="005E2CAF"/>
    <w:rsid w:val="005E4097"/>
    <w:rsid w:val="005E516A"/>
    <w:rsid w:val="005E56B1"/>
    <w:rsid w:val="005E5B3E"/>
    <w:rsid w:val="005E666E"/>
    <w:rsid w:val="005F0C5A"/>
    <w:rsid w:val="005F0F98"/>
    <w:rsid w:val="005F0FD9"/>
    <w:rsid w:val="005F1B3A"/>
    <w:rsid w:val="005F3C35"/>
    <w:rsid w:val="005F50F8"/>
    <w:rsid w:val="005F539E"/>
    <w:rsid w:val="005F576F"/>
    <w:rsid w:val="005F6FAC"/>
    <w:rsid w:val="0060029A"/>
    <w:rsid w:val="006007C7"/>
    <w:rsid w:val="00600A3F"/>
    <w:rsid w:val="00600E47"/>
    <w:rsid w:val="00601FDC"/>
    <w:rsid w:val="00603B5C"/>
    <w:rsid w:val="00605562"/>
    <w:rsid w:val="00607A06"/>
    <w:rsid w:val="00610DA8"/>
    <w:rsid w:val="00611503"/>
    <w:rsid w:val="00611968"/>
    <w:rsid w:val="006144CE"/>
    <w:rsid w:val="006167DA"/>
    <w:rsid w:val="00621A89"/>
    <w:rsid w:val="00622322"/>
    <w:rsid w:val="00623AA6"/>
    <w:rsid w:val="0062475D"/>
    <w:rsid w:val="00625C00"/>
    <w:rsid w:val="00626C39"/>
    <w:rsid w:val="00632C26"/>
    <w:rsid w:val="00632E72"/>
    <w:rsid w:val="006334A9"/>
    <w:rsid w:val="00634571"/>
    <w:rsid w:val="006353BA"/>
    <w:rsid w:val="006358E1"/>
    <w:rsid w:val="006361BE"/>
    <w:rsid w:val="00636A8C"/>
    <w:rsid w:val="00640549"/>
    <w:rsid w:val="00640B72"/>
    <w:rsid w:val="0064247C"/>
    <w:rsid w:val="006426EF"/>
    <w:rsid w:val="00644D95"/>
    <w:rsid w:val="00650DE7"/>
    <w:rsid w:val="006530D2"/>
    <w:rsid w:val="0065353D"/>
    <w:rsid w:val="00654049"/>
    <w:rsid w:val="0065406A"/>
    <w:rsid w:val="00654A44"/>
    <w:rsid w:val="00654CAA"/>
    <w:rsid w:val="00655156"/>
    <w:rsid w:val="006574CA"/>
    <w:rsid w:val="00657834"/>
    <w:rsid w:val="00657D68"/>
    <w:rsid w:val="006601D6"/>
    <w:rsid w:val="00660A03"/>
    <w:rsid w:val="00660D6A"/>
    <w:rsid w:val="006626BA"/>
    <w:rsid w:val="006633C9"/>
    <w:rsid w:val="006664BE"/>
    <w:rsid w:val="0066673B"/>
    <w:rsid w:val="00666C47"/>
    <w:rsid w:val="0067224C"/>
    <w:rsid w:val="00672E27"/>
    <w:rsid w:val="006731AD"/>
    <w:rsid w:val="0067349F"/>
    <w:rsid w:val="00673738"/>
    <w:rsid w:val="00675118"/>
    <w:rsid w:val="0067531F"/>
    <w:rsid w:val="0067703A"/>
    <w:rsid w:val="00677364"/>
    <w:rsid w:val="00677DE2"/>
    <w:rsid w:val="00677E3C"/>
    <w:rsid w:val="00682819"/>
    <w:rsid w:val="006842BA"/>
    <w:rsid w:val="006847E1"/>
    <w:rsid w:val="006848D7"/>
    <w:rsid w:val="006862AB"/>
    <w:rsid w:val="00686970"/>
    <w:rsid w:val="00687B62"/>
    <w:rsid w:val="00691114"/>
    <w:rsid w:val="006926C0"/>
    <w:rsid w:val="006943AE"/>
    <w:rsid w:val="006943FC"/>
    <w:rsid w:val="0069527E"/>
    <w:rsid w:val="006957AE"/>
    <w:rsid w:val="006957EC"/>
    <w:rsid w:val="00697593"/>
    <w:rsid w:val="00697B53"/>
    <w:rsid w:val="00697FE0"/>
    <w:rsid w:val="006A0379"/>
    <w:rsid w:val="006A13A5"/>
    <w:rsid w:val="006A1F2A"/>
    <w:rsid w:val="006A2399"/>
    <w:rsid w:val="006A2CB4"/>
    <w:rsid w:val="006A3B30"/>
    <w:rsid w:val="006A3C0D"/>
    <w:rsid w:val="006A58BF"/>
    <w:rsid w:val="006A65DF"/>
    <w:rsid w:val="006A7704"/>
    <w:rsid w:val="006B0CB2"/>
    <w:rsid w:val="006B2382"/>
    <w:rsid w:val="006B2D58"/>
    <w:rsid w:val="006B3448"/>
    <w:rsid w:val="006B364C"/>
    <w:rsid w:val="006B406D"/>
    <w:rsid w:val="006B43F4"/>
    <w:rsid w:val="006B4781"/>
    <w:rsid w:val="006B48F6"/>
    <w:rsid w:val="006B5804"/>
    <w:rsid w:val="006B63AA"/>
    <w:rsid w:val="006B7F2D"/>
    <w:rsid w:val="006C04A0"/>
    <w:rsid w:val="006C1736"/>
    <w:rsid w:val="006C1B6A"/>
    <w:rsid w:val="006C1C9F"/>
    <w:rsid w:val="006C2545"/>
    <w:rsid w:val="006C3E24"/>
    <w:rsid w:val="006C3EE8"/>
    <w:rsid w:val="006C460B"/>
    <w:rsid w:val="006C5FE3"/>
    <w:rsid w:val="006C693D"/>
    <w:rsid w:val="006C7E03"/>
    <w:rsid w:val="006D0DE3"/>
    <w:rsid w:val="006D143E"/>
    <w:rsid w:val="006D14BF"/>
    <w:rsid w:val="006D28AD"/>
    <w:rsid w:val="006D3F64"/>
    <w:rsid w:val="006D6C6D"/>
    <w:rsid w:val="006D7EF3"/>
    <w:rsid w:val="006E0C89"/>
    <w:rsid w:val="006E150E"/>
    <w:rsid w:val="006E20BC"/>
    <w:rsid w:val="006E234F"/>
    <w:rsid w:val="006E2E52"/>
    <w:rsid w:val="006E4375"/>
    <w:rsid w:val="006E526F"/>
    <w:rsid w:val="006E6CEB"/>
    <w:rsid w:val="006E718D"/>
    <w:rsid w:val="006E785F"/>
    <w:rsid w:val="006F0262"/>
    <w:rsid w:val="006F02A5"/>
    <w:rsid w:val="006F07B4"/>
    <w:rsid w:val="006F0E59"/>
    <w:rsid w:val="006F1BB6"/>
    <w:rsid w:val="006F1F1A"/>
    <w:rsid w:val="006F22B9"/>
    <w:rsid w:val="006F3E6D"/>
    <w:rsid w:val="006F41D3"/>
    <w:rsid w:val="006F447A"/>
    <w:rsid w:val="006F7B02"/>
    <w:rsid w:val="006F7DA9"/>
    <w:rsid w:val="00703159"/>
    <w:rsid w:val="007033FB"/>
    <w:rsid w:val="007059B5"/>
    <w:rsid w:val="00705AA0"/>
    <w:rsid w:val="0070623A"/>
    <w:rsid w:val="007068A1"/>
    <w:rsid w:val="00706C65"/>
    <w:rsid w:val="00707015"/>
    <w:rsid w:val="0071039D"/>
    <w:rsid w:val="007104A3"/>
    <w:rsid w:val="007111B9"/>
    <w:rsid w:val="00712317"/>
    <w:rsid w:val="00712F86"/>
    <w:rsid w:val="0071361E"/>
    <w:rsid w:val="00715C5B"/>
    <w:rsid w:val="00717243"/>
    <w:rsid w:val="00721AF9"/>
    <w:rsid w:val="00721C53"/>
    <w:rsid w:val="00722853"/>
    <w:rsid w:val="00725208"/>
    <w:rsid w:val="00725E79"/>
    <w:rsid w:val="007264BA"/>
    <w:rsid w:val="007277C8"/>
    <w:rsid w:val="00730D5E"/>
    <w:rsid w:val="00730E83"/>
    <w:rsid w:val="00731185"/>
    <w:rsid w:val="007318E7"/>
    <w:rsid w:val="00732208"/>
    <w:rsid w:val="007322B1"/>
    <w:rsid w:val="007324A7"/>
    <w:rsid w:val="00733486"/>
    <w:rsid w:val="00733B7C"/>
    <w:rsid w:val="0073438C"/>
    <w:rsid w:val="0073448A"/>
    <w:rsid w:val="00734B88"/>
    <w:rsid w:val="00734D83"/>
    <w:rsid w:val="00735C23"/>
    <w:rsid w:val="007360F2"/>
    <w:rsid w:val="00737CA2"/>
    <w:rsid w:val="00737E80"/>
    <w:rsid w:val="00740CA4"/>
    <w:rsid w:val="0074392C"/>
    <w:rsid w:val="00743CFD"/>
    <w:rsid w:val="0074527A"/>
    <w:rsid w:val="00746427"/>
    <w:rsid w:val="0074679A"/>
    <w:rsid w:val="00746965"/>
    <w:rsid w:val="00747539"/>
    <w:rsid w:val="00750980"/>
    <w:rsid w:val="00751596"/>
    <w:rsid w:val="00751882"/>
    <w:rsid w:val="00751DD9"/>
    <w:rsid w:val="00752917"/>
    <w:rsid w:val="00754EF0"/>
    <w:rsid w:val="007553C2"/>
    <w:rsid w:val="00755797"/>
    <w:rsid w:val="007562FB"/>
    <w:rsid w:val="007573D4"/>
    <w:rsid w:val="00757655"/>
    <w:rsid w:val="00757F0B"/>
    <w:rsid w:val="00760274"/>
    <w:rsid w:val="007606D2"/>
    <w:rsid w:val="007608A8"/>
    <w:rsid w:val="00761396"/>
    <w:rsid w:val="00764DD8"/>
    <w:rsid w:val="00767841"/>
    <w:rsid w:val="00767A50"/>
    <w:rsid w:val="007704E8"/>
    <w:rsid w:val="00770593"/>
    <w:rsid w:val="007734E6"/>
    <w:rsid w:val="00773A24"/>
    <w:rsid w:val="00773B61"/>
    <w:rsid w:val="00774D65"/>
    <w:rsid w:val="00775607"/>
    <w:rsid w:val="00775D36"/>
    <w:rsid w:val="00776303"/>
    <w:rsid w:val="007767DE"/>
    <w:rsid w:val="00777344"/>
    <w:rsid w:val="007774B5"/>
    <w:rsid w:val="00784606"/>
    <w:rsid w:val="00784EAD"/>
    <w:rsid w:val="007861B6"/>
    <w:rsid w:val="0078652F"/>
    <w:rsid w:val="0079069C"/>
    <w:rsid w:val="00790828"/>
    <w:rsid w:val="00790AC5"/>
    <w:rsid w:val="00791164"/>
    <w:rsid w:val="00791E86"/>
    <w:rsid w:val="00793C31"/>
    <w:rsid w:val="00794391"/>
    <w:rsid w:val="0079440C"/>
    <w:rsid w:val="00796E15"/>
    <w:rsid w:val="00797129"/>
    <w:rsid w:val="007979E4"/>
    <w:rsid w:val="007A0160"/>
    <w:rsid w:val="007A0199"/>
    <w:rsid w:val="007A143F"/>
    <w:rsid w:val="007A15C2"/>
    <w:rsid w:val="007A4C78"/>
    <w:rsid w:val="007A5564"/>
    <w:rsid w:val="007A56AB"/>
    <w:rsid w:val="007A5DC4"/>
    <w:rsid w:val="007A649C"/>
    <w:rsid w:val="007B0172"/>
    <w:rsid w:val="007B08E1"/>
    <w:rsid w:val="007B0FC5"/>
    <w:rsid w:val="007B19A2"/>
    <w:rsid w:val="007B27A4"/>
    <w:rsid w:val="007B5572"/>
    <w:rsid w:val="007B6D27"/>
    <w:rsid w:val="007C10CB"/>
    <w:rsid w:val="007C2310"/>
    <w:rsid w:val="007C2695"/>
    <w:rsid w:val="007C2818"/>
    <w:rsid w:val="007C2CC7"/>
    <w:rsid w:val="007C4F5E"/>
    <w:rsid w:val="007C6FB5"/>
    <w:rsid w:val="007C7080"/>
    <w:rsid w:val="007C72A8"/>
    <w:rsid w:val="007D0C38"/>
    <w:rsid w:val="007D186A"/>
    <w:rsid w:val="007D18C1"/>
    <w:rsid w:val="007D29EA"/>
    <w:rsid w:val="007D5EBD"/>
    <w:rsid w:val="007D5F14"/>
    <w:rsid w:val="007D5FE9"/>
    <w:rsid w:val="007D63FC"/>
    <w:rsid w:val="007D6DBB"/>
    <w:rsid w:val="007D6E33"/>
    <w:rsid w:val="007D70CF"/>
    <w:rsid w:val="007D716A"/>
    <w:rsid w:val="007D74E1"/>
    <w:rsid w:val="007D7BD6"/>
    <w:rsid w:val="007D7D6E"/>
    <w:rsid w:val="007E208A"/>
    <w:rsid w:val="007E21FE"/>
    <w:rsid w:val="007E2FE3"/>
    <w:rsid w:val="007E359C"/>
    <w:rsid w:val="007E370D"/>
    <w:rsid w:val="007E386A"/>
    <w:rsid w:val="007E3A02"/>
    <w:rsid w:val="007E3FE5"/>
    <w:rsid w:val="007E5097"/>
    <w:rsid w:val="007E5C2C"/>
    <w:rsid w:val="007E5E73"/>
    <w:rsid w:val="007E621A"/>
    <w:rsid w:val="007E660C"/>
    <w:rsid w:val="007F1F39"/>
    <w:rsid w:val="007F4D16"/>
    <w:rsid w:val="007F53F3"/>
    <w:rsid w:val="007F5BBF"/>
    <w:rsid w:val="00800BB6"/>
    <w:rsid w:val="008013C1"/>
    <w:rsid w:val="00801691"/>
    <w:rsid w:val="00801A4A"/>
    <w:rsid w:val="00803626"/>
    <w:rsid w:val="00805A99"/>
    <w:rsid w:val="00805C67"/>
    <w:rsid w:val="00806754"/>
    <w:rsid w:val="008067A2"/>
    <w:rsid w:val="00807370"/>
    <w:rsid w:val="00807678"/>
    <w:rsid w:val="00807C31"/>
    <w:rsid w:val="008100EB"/>
    <w:rsid w:val="0081693A"/>
    <w:rsid w:val="00817063"/>
    <w:rsid w:val="00817387"/>
    <w:rsid w:val="0082090E"/>
    <w:rsid w:val="00820BB9"/>
    <w:rsid w:val="0082104D"/>
    <w:rsid w:val="008212C3"/>
    <w:rsid w:val="008213D1"/>
    <w:rsid w:val="00821AC2"/>
    <w:rsid w:val="00821F6E"/>
    <w:rsid w:val="008230B1"/>
    <w:rsid w:val="00825198"/>
    <w:rsid w:val="008252EE"/>
    <w:rsid w:val="00827257"/>
    <w:rsid w:val="008308E7"/>
    <w:rsid w:val="00833ECC"/>
    <w:rsid w:val="00834E61"/>
    <w:rsid w:val="00835387"/>
    <w:rsid w:val="00836608"/>
    <w:rsid w:val="00837F11"/>
    <w:rsid w:val="00840471"/>
    <w:rsid w:val="008409E0"/>
    <w:rsid w:val="00841D02"/>
    <w:rsid w:val="0084230A"/>
    <w:rsid w:val="00843014"/>
    <w:rsid w:val="00843D93"/>
    <w:rsid w:val="00843E22"/>
    <w:rsid w:val="008449BC"/>
    <w:rsid w:val="00844F9A"/>
    <w:rsid w:val="00845525"/>
    <w:rsid w:val="0084675A"/>
    <w:rsid w:val="00846AC0"/>
    <w:rsid w:val="0084795D"/>
    <w:rsid w:val="0085012E"/>
    <w:rsid w:val="008510EB"/>
    <w:rsid w:val="00852B58"/>
    <w:rsid w:val="008568F9"/>
    <w:rsid w:val="008578AA"/>
    <w:rsid w:val="008605F8"/>
    <w:rsid w:val="00860846"/>
    <w:rsid w:val="00860E95"/>
    <w:rsid w:val="00860EC0"/>
    <w:rsid w:val="0086109D"/>
    <w:rsid w:val="00861E67"/>
    <w:rsid w:val="00863645"/>
    <w:rsid w:val="008638A5"/>
    <w:rsid w:val="00864A30"/>
    <w:rsid w:val="00865D88"/>
    <w:rsid w:val="008667A5"/>
    <w:rsid w:val="008678C8"/>
    <w:rsid w:val="00871757"/>
    <w:rsid w:val="00871BBE"/>
    <w:rsid w:val="00872045"/>
    <w:rsid w:val="00872C81"/>
    <w:rsid w:val="00875F08"/>
    <w:rsid w:val="008776EB"/>
    <w:rsid w:val="00881E6A"/>
    <w:rsid w:val="008825E0"/>
    <w:rsid w:val="008854F6"/>
    <w:rsid w:val="008857B4"/>
    <w:rsid w:val="0088646B"/>
    <w:rsid w:val="00886F9A"/>
    <w:rsid w:val="00887846"/>
    <w:rsid w:val="008879FA"/>
    <w:rsid w:val="008905A9"/>
    <w:rsid w:val="00891D3A"/>
    <w:rsid w:val="00892F1A"/>
    <w:rsid w:val="00893069"/>
    <w:rsid w:val="008941B6"/>
    <w:rsid w:val="008959D2"/>
    <w:rsid w:val="008970C8"/>
    <w:rsid w:val="008A057E"/>
    <w:rsid w:val="008A07B5"/>
    <w:rsid w:val="008A21EF"/>
    <w:rsid w:val="008A2CEC"/>
    <w:rsid w:val="008A33A2"/>
    <w:rsid w:val="008A3B9A"/>
    <w:rsid w:val="008A588A"/>
    <w:rsid w:val="008A5C18"/>
    <w:rsid w:val="008A5F71"/>
    <w:rsid w:val="008A7B5B"/>
    <w:rsid w:val="008A7C43"/>
    <w:rsid w:val="008B0566"/>
    <w:rsid w:val="008B0C87"/>
    <w:rsid w:val="008B66A4"/>
    <w:rsid w:val="008B7EA0"/>
    <w:rsid w:val="008C02F3"/>
    <w:rsid w:val="008C03E9"/>
    <w:rsid w:val="008C12F7"/>
    <w:rsid w:val="008C2894"/>
    <w:rsid w:val="008C2BCC"/>
    <w:rsid w:val="008C389E"/>
    <w:rsid w:val="008C3BFB"/>
    <w:rsid w:val="008C3C5C"/>
    <w:rsid w:val="008C44E6"/>
    <w:rsid w:val="008C52C7"/>
    <w:rsid w:val="008C61D3"/>
    <w:rsid w:val="008C6941"/>
    <w:rsid w:val="008C6FD3"/>
    <w:rsid w:val="008C7D96"/>
    <w:rsid w:val="008D197A"/>
    <w:rsid w:val="008D2708"/>
    <w:rsid w:val="008D32A2"/>
    <w:rsid w:val="008D5602"/>
    <w:rsid w:val="008D7E18"/>
    <w:rsid w:val="008E0CC4"/>
    <w:rsid w:val="008E3F61"/>
    <w:rsid w:val="008E493D"/>
    <w:rsid w:val="008E562B"/>
    <w:rsid w:val="008E58C0"/>
    <w:rsid w:val="008E6600"/>
    <w:rsid w:val="008E6797"/>
    <w:rsid w:val="008E6E7D"/>
    <w:rsid w:val="008E7888"/>
    <w:rsid w:val="008F1DF4"/>
    <w:rsid w:val="008F24A5"/>
    <w:rsid w:val="008F346F"/>
    <w:rsid w:val="008F7198"/>
    <w:rsid w:val="008F783E"/>
    <w:rsid w:val="008F79A8"/>
    <w:rsid w:val="008F7A8D"/>
    <w:rsid w:val="00901E0C"/>
    <w:rsid w:val="00902216"/>
    <w:rsid w:val="00905617"/>
    <w:rsid w:val="00905F63"/>
    <w:rsid w:val="00907319"/>
    <w:rsid w:val="00907638"/>
    <w:rsid w:val="0091077E"/>
    <w:rsid w:val="00910A5E"/>
    <w:rsid w:val="00911368"/>
    <w:rsid w:val="00912FE8"/>
    <w:rsid w:val="00914D7F"/>
    <w:rsid w:val="00915881"/>
    <w:rsid w:val="00916827"/>
    <w:rsid w:val="0091737B"/>
    <w:rsid w:val="00917AAB"/>
    <w:rsid w:val="00921174"/>
    <w:rsid w:val="0092253E"/>
    <w:rsid w:val="00923FB9"/>
    <w:rsid w:val="009249AE"/>
    <w:rsid w:val="00924A2B"/>
    <w:rsid w:val="00926B8A"/>
    <w:rsid w:val="00927595"/>
    <w:rsid w:val="00927A17"/>
    <w:rsid w:val="00927BD5"/>
    <w:rsid w:val="009305A7"/>
    <w:rsid w:val="00931687"/>
    <w:rsid w:val="00933755"/>
    <w:rsid w:val="009355A1"/>
    <w:rsid w:val="009367F7"/>
    <w:rsid w:val="0094384B"/>
    <w:rsid w:val="00944BFB"/>
    <w:rsid w:val="00945BD5"/>
    <w:rsid w:val="00947CC9"/>
    <w:rsid w:val="00950A4E"/>
    <w:rsid w:val="009515D4"/>
    <w:rsid w:val="009517DF"/>
    <w:rsid w:val="00951B54"/>
    <w:rsid w:val="0095263C"/>
    <w:rsid w:val="00952DB6"/>
    <w:rsid w:val="00952FA4"/>
    <w:rsid w:val="00953FD4"/>
    <w:rsid w:val="009542AD"/>
    <w:rsid w:val="00955746"/>
    <w:rsid w:val="00956957"/>
    <w:rsid w:val="00960007"/>
    <w:rsid w:val="0096190E"/>
    <w:rsid w:val="0096257D"/>
    <w:rsid w:val="009633D0"/>
    <w:rsid w:val="00964122"/>
    <w:rsid w:val="009641EF"/>
    <w:rsid w:val="00965D5C"/>
    <w:rsid w:val="0096606F"/>
    <w:rsid w:val="00966494"/>
    <w:rsid w:val="00967106"/>
    <w:rsid w:val="009711DD"/>
    <w:rsid w:val="00972631"/>
    <w:rsid w:val="009733AD"/>
    <w:rsid w:val="009736F9"/>
    <w:rsid w:val="00975BEA"/>
    <w:rsid w:val="00976125"/>
    <w:rsid w:val="00976D6E"/>
    <w:rsid w:val="00980327"/>
    <w:rsid w:val="00980CA4"/>
    <w:rsid w:val="00984169"/>
    <w:rsid w:val="009843E5"/>
    <w:rsid w:val="00984F99"/>
    <w:rsid w:val="00985B9A"/>
    <w:rsid w:val="00985D7E"/>
    <w:rsid w:val="009877FA"/>
    <w:rsid w:val="0099302F"/>
    <w:rsid w:val="00993BB6"/>
    <w:rsid w:val="00993FD0"/>
    <w:rsid w:val="009954EE"/>
    <w:rsid w:val="00995D12"/>
    <w:rsid w:val="009968E1"/>
    <w:rsid w:val="00996F70"/>
    <w:rsid w:val="009A0174"/>
    <w:rsid w:val="009A05C9"/>
    <w:rsid w:val="009A0A86"/>
    <w:rsid w:val="009A2CBC"/>
    <w:rsid w:val="009A37BC"/>
    <w:rsid w:val="009A3C73"/>
    <w:rsid w:val="009A5A06"/>
    <w:rsid w:val="009A5CDB"/>
    <w:rsid w:val="009A5E37"/>
    <w:rsid w:val="009A5E50"/>
    <w:rsid w:val="009A60A0"/>
    <w:rsid w:val="009A7B50"/>
    <w:rsid w:val="009B1D85"/>
    <w:rsid w:val="009B2352"/>
    <w:rsid w:val="009B27D9"/>
    <w:rsid w:val="009B346B"/>
    <w:rsid w:val="009B3AE7"/>
    <w:rsid w:val="009B47EC"/>
    <w:rsid w:val="009B72E5"/>
    <w:rsid w:val="009C19A8"/>
    <w:rsid w:val="009C31AC"/>
    <w:rsid w:val="009C40E9"/>
    <w:rsid w:val="009C5D60"/>
    <w:rsid w:val="009C696E"/>
    <w:rsid w:val="009C6D12"/>
    <w:rsid w:val="009C724C"/>
    <w:rsid w:val="009D4085"/>
    <w:rsid w:val="009D60C5"/>
    <w:rsid w:val="009D6A81"/>
    <w:rsid w:val="009D7698"/>
    <w:rsid w:val="009D7A15"/>
    <w:rsid w:val="009E074F"/>
    <w:rsid w:val="009E1C94"/>
    <w:rsid w:val="009E3D24"/>
    <w:rsid w:val="009F0B60"/>
    <w:rsid w:val="009F1F62"/>
    <w:rsid w:val="009F2DFC"/>
    <w:rsid w:val="009F3C7C"/>
    <w:rsid w:val="009F3ECC"/>
    <w:rsid w:val="009F43EC"/>
    <w:rsid w:val="009F4439"/>
    <w:rsid w:val="009F753E"/>
    <w:rsid w:val="009F7EA1"/>
    <w:rsid w:val="00A00EA7"/>
    <w:rsid w:val="00A00FFC"/>
    <w:rsid w:val="00A013C1"/>
    <w:rsid w:val="00A0266F"/>
    <w:rsid w:val="00A02B3F"/>
    <w:rsid w:val="00A03A41"/>
    <w:rsid w:val="00A04705"/>
    <w:rsid w:val="00A06EC7"/>
    <w:rsid w:val="00A07260"/>
    <w:rsid w:val="00A10511"/>
    <w:rsid w:val="00A10816"/>
    <w:rsid w:val="00A1108F"/>
    <w:rsid w:val="00A11ABC"/>
    <w:rsid w:val="00A122DC"/>
    <w:rsid w:val="00A1339C"/>
    <w:rsid w:val="00A13945"/>
    <w:rsid w:val="00A13CDB"/>
    <w:rsid w:val="00A149A9"/>
    <w:rsid w:val="00A157C3"/>
    <w:rsid w:val="00A15BE3"/>
    <w:rsid w:val="00A16899"/>
    <w:rsid w:val="00A1714A"/>
    <w:rsid w:val="00A17D48"/>
    <w:rsid w:val="00A21532"/>
    <w:rsid w:val="00A21B8D"/>
    <w:rsid w:val="00A22845"/>
    <w:rsid w:val="00A2358F"/>
    <w:rsid w:val="00A235BF"/>
    <w:rsid w:val="00A258AB"/>
    <w:rsid w:val="00A269E8"/>
    <w:rsid w:val="00A26D86"/>
    <w:rsid w:val="00A3085B"/>
    <w:rsid w:val="00A32265"/>
    <w:rsid w:val="00A323A6"/>
    <w:rsid w:val="00A323C4"/>
    <w:rsid w:val="00A32779"/>
    <w:rsid w:val="00A3295A"/>
    <w:rsid w:val="00A35E06"/>
    <w:rsid w:val="00A36159"/>
    <w:rsid w:val="00A37203"/>
    <w:rsid w:val="00A3746D"/>
    <w:rsid w:val="00A374C5"/>
    <w:rsid w:val="00A37AAE"/>
    <w:rsid w:val="00A407D9"/>
    <w:rsid w:val="00A42DA1"/>
    <w:rsid w:val="00A43421"/>
    <w:rsid w:val="00A43525"/>
    <w:rsid w:val="00A43A7E"/>
    <w:rsid w:val="00A455C0"/>
    <w:rsid w:val="00A47039"/>
    <w:rsid w:val="00A4772A"/>
    <w:rsid w:val="00A5234A"/>
    <w:rsid w:val="00A544A7"/>
    <w:rsid w:val="00A54E17"/>
    <w:rsid w:val="00A5650A"/>
    <w:rsid w:val="00A56EA5"/>
    <w:rsid w:val="00A57DE4"/>
    <w:rsid w:val="00A6048A"/>
    <w:rsid w:val="00A609AF"/>
    <w:rsid w:val="00A60EB8"/>
    <w:rsid w:val="00A610F7"/>
    <w:rsid w:val="00A6221E"/>
    <w:rsid w:val="00A62CD7"/>
    <w:rsid w:val="00A62E0E"/>
    <w:rsid w:val="00A62E96"/>
    <w:rsid w:val="00A64D99"/>
    <w:rsid w:val="00A67AD1"/>
    <w:rsid w:val="00A701C7"/>
    <w:rsid w:val="00A70699"/>
    <w:rsid w:val="00A70B9F"/>
    <w:rsid w:val="00A715A8"/>
    <w:rsid w:val="00A71B80"/>
    <w:rsid w:val="00A74050"/>
    <w:rsid w:val="00A742F9"/>
    <w:rsid w:val="00A74997"/>
    <w:rsid w:val="00A76EAC"/>
    <w:rsid w:val="00A77C67"/>
    <w:rsid w:val="00A80BA6"/>
    <w:rsid w:val="00A820FC"/>
    <w:rsid w:val="00A8229C"/>
    <w:rsid w:val="00A82307"/>
    <w:rsid w:val="00A83B52"/>
    <w:rsid w:val="00A83BC8"/>
    <w:rsid w:val="00A84313"/>
    <w:rsid w:val="00A847D1"/>
    <w:rsid w:val="00A86739"/>
    <w:rsid w:val="00A87577"/>
    <w:rsid w:val="00A87588"/>
    <w:rsid w:val="00A876F8"/>
    <w:rsid w:val="00A90304"/>
    <w:rsid w:val="00A90ABD"/>
    <w:rsid w:val="00A90DB0"/>
    <w:rsid w:val="00A919EE"/>
    <w:rsid w:val="00A91E06"/>
    <w:rsid w:val="00A9285F"/>
    <w:rsid w:val="00A94674"/>
    <w:rsid w:val="00A94DE2"/>
    <w:rsid w:val="00A9615E"/>
    <w:rsid w:val="00A967FE"/>
    <w:rsid w:val="00A9783F"/>
    <w:rsid w:val="00AA1905"/>
    <w:rsid w:val="00AA29C8"/>
    <w:rsid w:val="00AA3075"/>
    <w:rsid w:val="00AA364E"/>
    <w:rsid w:val="00AA5262"/>
    <w:rsid w:val="00AA5AF6"/>
    <w:rsid w:val="00AA6B11"/>
    <w:rsid w:val="00AA6BF5"/>
    <w:rsid w:val="00AA70C7"/>
    <w:rsid w:val="00AA7394"/>
    <w:rsid w:val="00AA73DA"/>
    <w:rsid w:val="00AB1115"/>
    <w:rsid w:val="00AB2344"/>
    <w:rsid w:val="00AB2E84"/>
    <w:rsid w:val="00AB5732"/>
    <w:rsid w:val="00AC0012"/>
    <w:rsid w:val="00AC0A8A"/>
    <w:rsid w:val="00AC0B5B"/>
    <w:rsid w:val="00AC3352"/>
    <w:rsid w:val="00AC3F5C"/>
    <w:rsid w:val="00AC72F3"/>
    <w:rsid w:val="00AC745C"/>
    <w:rsid w:val="00AC7B89"/>
    <w:rsid w:val="00AD1273"/>
    <w:rsid w:val="00AD359B"/>
    <w:rsid w:val="00AD365B"/>
    <w:rsid w:val="00AD38FE"/>
    <w:rsid w:val="00AD5657"/>
    <w:rsid w:val="00AD6941"/>
    <w:rsid w:val="00AD7731"/>
    <w:rsid w:val="00AD7FEF"/>
    <w:rsid w:val="00AE11DE"/>
    <w:rsid w:val="00AE1962"/>
    <w:rsid w:val="00AE1EE7"/>
    <w:rsid w:val="00AE2212"/>
    <w:rsid w:val="00AE369D"/>
    <w:rsid w:val="00AE4F94"/>
    <w:rsid w:val="00AE57CC"/>
    <w:rsid w:val="00AE7778"/>
    <w:rsid w:val="00AF00AE"/>
    <w:rsid w:val="00AF04CD"/>
    <w:rsid w:val="00AF2F87"/>
    <w:rsid w:val="00AF3E0F"/>
    <w:rsid w:val="00AF60D7"/>
    <w:rsid w:val="00AF6723"/>
    <w:rsid w:val="00AF6B02"/>
    <w:rsid w:val="00AF72F0"/>
    <w:rsid w:val="00B0036C"/>
    <w:rsid w:val="00B02042"/>
    <w:rsid w:val="00B04ED3"/>
    <w:rsid w:val="00B063C4"/>
    <w:rsid w:val="00B067F4"/>
    <w:rsid w:val="00B06BAA"/>
    <w:rsid w:val="00B06C91"/>
    <w:rsid w:val="00B071F8"/>
    <w:rsid w:val="00B119F6"/>
    <w:rsid w:val="00B124F8"/>
    <w:rsid w:val="00B13237"/>
    <w:rsid w:val="00B13902"/>
    <w:rsid w:val="00B141F3"/>
    <w:rsid w:val="00B161ED"/>
    <w:rsid w:val="00B16381"/>
    <w:rsid w:val="00B2001A"/>
    <w:rsid w:val="00B22466"/>
    <w:rsid w:val="00B22BE5"/>
    <w:rsid w:val="00B23B40"/>
    <w:rsid w:val="00B23E59"/>
    <w:rsid w:val="00B25EF5"/>
    <w:rsid w:val="00B26E3A"/>
    <w:rsid w:val="00B305B1"/>
    <w:rsid w:val="00B30E13"/>
    <w:rsid w:val="00B3295A"/>
    <w:rsid w:val="00B32AD2"/>
    <w:rsid w:val="00B33E41"/>
    <w:rsid w:val="00B33F7D"/>
    <w:rsid w:val="00B346B2"/>
    <w:rsid w:val="00B34AF3"/>
    <w:rsid w:val="00B34BC2"/>
    <w:rsid w:val="00B35338"/>
    <w:rsid w:val="00B37C2D"/>
    <w:rsid w:val="00B4140F"/>
    <w:rsid w:val="00B415D3"/>
    <w:rsid w:val="00B416E4"/>
    <w:rsid w:val="00B43C9C"/>
    <w:rsid w:val="00B44EBD"/>
    <w:rsid w:val="00B458F4"/>
    <w:rsid w:val="00B45E34"/>
    <w:rsid w:val="00B46724"/>
    <w:rsid w:val="00B5056F"/>
    <w:rsid w:val="00B50FF9"/>
    <w:rsid w:val="00B51444"/>
    <w:rsid w:val="00B514D0"/>
    <w:rsid w:val="00B51A4C"/>
    <w:rsid w:val="00B51B67"/>
    <w:rsid w:val="00B543DE"/>
    <w:rsid w:val="00B55691"/>
    <w:rsid w:val="00B558D1"/>
    <w:rsid w:val="00B5773F"/>
    <w:rsid w:val="00B62742"/>
    <w:rsid w:val="00B63679"/>
    <w:rsid w:val="00B64EB2"/>
    <w:rsid w:val="00B652DA"/>
    <w:rsid w:val="00B67136"/>
    <w:rsid w:val="00B673B8"/>
    <w:rsid w:val="00B70131"/>
    <w:rsid w:val="00B719C9"/>
    <w:rsid w:val="00B73BD3"/>
    <w:rsid w:val="00B7699D"/>
    <w:rsid w:val="00B7720B"/>
    <w:rsid w:val="00B80B5F"/>
    <w:rsid w:val="00B81457"/>
    <w:rsid w:val="00B82E15"/>
    <w:rsid w:val="00B8345A"/>
    <w:rsid w:val="00B83975"/>
    <w:rsid w:val="00B83CD3"/>
    <w:rsid w:val="00B84874"/>
    <w:rsid w:val="00B85052"/>
    <w:rsid w:val="00B85791"/>
    <w:rsid w:val="00B86AA8"/>
    <w:rsid w:val="00B872AC"/>
    <w:rsid w:val="00B87873"/>
    <w:rsid w:val="00B91733"/>
    <w:rsid w:val="00B939FE"/>
    <w:rsid w:val="00B94CF9"/>
    <w:rsid w:val="00B955C5"/>
    <w:rsid w:val="00B96F1B"/>
    <w:rsid w:val="00BA1396"/>
    <w:rsid w:val="00BA1ABA"/>
    <w:rsid w:val="00BA2527"/>
    <w:rsid w:val="00BA2DF5"/>
    <w:rsid w:val="00BA333B"/>
    <w:rsid w:val="00BA35D1"/>
    <w:rsid w:val="00BA45F7"/>
    <w:rsid w:val="00BA49A0"/>
    <w:rsid w:val="00BA589C"/>
    <w:rsid w:val="00BB07CE"/>
    <w:rsid w:val="00BB081D"/>
    <w:rsid w:val="00BB0AFC"/>
    <w:rsid w:val="00BB0B3D"/>
    <w:rsid w:val="00BB1E7C"/>
    <w:rsid w:val="00BB340A"/>
    <w:rsid w:val="00BB7262"/>
    <w:rsid w:val="00BC16F9"/>
    <w:rsid w:val="00BC23BF"/>
    <w:rsid w:val="00BC24A6"/>
    <w:rsid w:val="00BC5904"/>
    <w:rsid w:val="00BC7686"/>
    <w:rsid w:val="00BD0D18"/>
    <w:rsid w:val="00BD1040"/>
    <w:rsid w:val="00BD14A6"/>
    <w:rsid w:val="00BD1883"/>
    <w:rsid w:val="00BD1987"/>
    <w:rsid w:val="00BD2073"/>
    <w:rsid w:val="00BD4212"/>
    <w:rsid w:val="00BD428C"/>
    <w:rsid w:val="00BD42E8"/>
    <w:rsid w:val="00BD4DA9"/>
    <w:rsid w:val="00BE0153"/>
    <w:rsid w:val="00BE15F4"/>
    <w:rsid w:val="00BE23E9"/>
    <w:rsid w:val="00BE2A4E"/>
    <w:rsid w:val="00BE510B"/>
    <w:rsid w:val="00BE5772"/>
    <w:rsid w:val="00BE6D02"/>
    <w:rsid w:val="00BF2BCE"/>
    <w:rsid w:val="00BF2FA0"/>
    <w:rsid w:val="00BF4161"/>
    <w:rsid w:val="00BF5D48"/>
    <w:rsid w:val="00BF69BE"/>
    <w:rsid w:val="00BF6E76"/>
    <w:rsid w:val="00BF7607"/>
    <w:rsid w:val="00C011FE"/>
    <w:rsid w:val="00C01376"/>
    <w:rsid w:val="00C02064"/>
    <w:rsid w:val="00C024E4"/>
    <w:rsid w:val="00C03048"/>
    <w:rsid w:val="00C034DC"/>
    <w:rsid w:val="00C044BC"/>
    <w:rsid w:val="00C06042"/>
    <w:rsid w:val="00C10398"/>
    <w:rsid w:val="00C10FA3"/>
    <w:rsid w:val="00C11761"/>
    <w:rsid w:val="00C11992"/>
    <w:rsid w:val="00C12908"/>
    <w:rsid w:val="00C13149"/>
    <w:rsid w:val="00C14C60"/>
    <w:rsid w:val="00C15C36"/>
    <w:rsid w:val="00C2069F"/>
    <w:rsid w:val="00C20DC2"/>
    <w:rsid w:val="00C21460"/>
    <w:rsid w:val="00C21F75"/>
    <w:rsid w:val="00C220B1"/>
    <w:rsid w:val="00C22BC8"/>
    <w:rsid w:val="00C2386A"/>
    <w:rsid w:val="00C23D0B"/>
    <w:rsid w:val="00C24771"/>
    <w:rsid w:val="00C2527D"/>
    <w:rsid w:val="00C25798"/>
    <w:rsid w:val="00C261FF"/>
    <w:rsid w:val="00C2778D"/>
    <w:rsid w:val="00C278DF"/>
    <w:rsid w:val="00C301A5"/>
    <w:rsid w:val="00C31DE6"/>
    <w:rsid w:val="00C333E3"/>
    <w:rsid w:val="00C33856"/>
    <w:rsid w:val="00C342E5"/>
    <w:rsid w:val="00C348DB"/>
    <w:rsid w:val="00C35071"/>
    <w:rsid w:val="00C35978"/>
    <w:rsid w:val="00C35DAC"/>
    <w:rsid w:val="00C36429"/>
    <w:rsid w:val="00C36620"/>
    <w:rsid w:val="00C3719B"/>
    <w:rsid w:val="00C40C3D"/>
    <w:rsid w:val="00C41035"/>
    <w:rsid w:val="00C42D86"/>
    <w:rsid w:val="00C440FE"/>
    <w:rsid w:val="00C46734"/>
    <w:rsid w:val="00C4752B"/>
    <w:rsid w:val="00C51556"/>
    <w:rsid w:val="00C54169"/>
    <w:rsid w:val="00C55B6E"/>
    <w:rsid w:val="00C565F3"/>
    <w:rsid w:val="00C5695B"/>
    <w:rsid w:val="00C56B6E"/>
    <w:rsid w:val="00C56FF3"/>
    <w:rsid w:val="00C57558"/>
    <w:rsid w:val="00C57CE7"/>
    <w:rsid w:val="00C60636"/>
    <w:rsid w:val="00C606A1"/>
    <w:rsid w:val="00C60DE4"/>
    <w:rsid w:val="00C621BE"/>
    <w:rsid w:val="00C627A6"/>
    <w:rsid w:val="00C63817"/>
    <w:rsid w:val="00C63D18"/>
    <w:rsid w:val="00C64144"/>
    <w:rsid w:val="00C649F1"/>
    <w:rsid w:val="00C65054"/>
    <w:rsid w:val="00C662DB"/>
    <w:rsid w:val="00C67247"/>
    <w:rsid w:val="00C676CA"/>
    <w:rsid w:val="00C707FC"/>
    <w:rsid w:val="00C715BB"/>
    <w:rsid w:val="00C72738"/>
    <w:rsid w:val="00C74965"/>
    <w:rsid w:val="00C749FF"/>
    <w:rsid w:val="00C75724"/>
    <w:rsid w:val="00C77304"/>
    <w:rsid w:val="00C7772C"/>
    <w:rsid w:val="00C8002D"/>
    <w:rsid w:val="00C82BB5"/>
    <w:rsid w:val="00C83BE4"/>
    <w:rsid w:val="00C84DA3"/>
    <w:rsid w:val="00C86795"/>
    <w:rsid w:val="00C87FC1"/>
    <w:rsid w:val="00C90D30"/>
    <w:rsid w:val="00C91014"/>
    <w:rsid w:val="00C91895"/>
    <w:rsid w:val="00C94137"/>
    <w:rsid w:val="00C94ADF"/>
    <w:rsid w:val="00C9545B"/>
    <w:rsid w:val="00C95C9D"/>
    <w:rsid w:val="00C95E84"/>
    <w:rsid w:val="00CA0EA4"/>
    <w:rsid w:val="00CA0F94"/>
    <w:rsid w:val="00CA1549"/>
    <w:rsid w:val="00CA1895"/>
    <w:rsid w:val="00CA1A3D"/>
    <w:rsid w:val="00CA30ED"/>
    <w:rsid w:val="00CA3847"/>
    <w:rsid w:val="00CA438D"/>
    <w:rsid w:val="00CA4C28"/>
    <w:rsid w:val="00CA517A"/>
    <w:rsid w:val="00CA5918"/>
    <w:rsid w:val="00CA79D4"/>
    <w:rsid w:val="00CA7B10"/>
    <w:rsid w:val="00CA7D29"/>
    <w:rsid w:val="00CB007C"/>
    <w:rsid w:val="00CB1107"/>
    <w:rsid w:val="00CB1FA7"/>
    <w:rsid w:val="00CB25E5"/>
    <w:rsid w:val="00CB3163"/>
    <w:rsid w:val="00CB46AE"/>
    <w:rsid w:val="00CB5090"/>
    <w:rsid w:val="00CB53B7"/>
    <w:rsid w:val="00CB7575"/>
    <w:rsid w:val="00CB76D1"/>
    <w:rsid w:val="00CC056C"/>
    <w:rsid w:val="00CC0C2C"/>
    <w:rsid w:val="00CC14A0"/>
    <w:rsid w:val="00CC278A"/>
    <w:rsid w:val="00CC3B14"/>
    <w:rsid w:val="00CC49FF"/>
    <w:rsid w:val="00CC4FE5"/>
    <w:rsid w:val="00CD0976"/>
    <w:rsid w:val="00CD2ACD"/>
    <w:rsid w:val="00CD2D8A"/>
    <w:rsid w:val="00CD343E"/>
    <w:rsid w:val="00CD3AF6"/>
    <w:rsid w:val="00CD4A6A"/>
    <w:rsid w:val="00CD721B"/>
    <w:rsid w:val="00CE08B8"/>
    <w:rsid w:val="00CE0B88"/>
    <w:rsid w:val="00CE0C3F"/>
    <w:rsid w:val="00CE1B0A"/>
    <w:rsid w:val="00CE1DBC"/>
    <w:rsid w:val="00CE2116"/>
    <w:rsid w:val="00CE27C2"/>
    <w:rsid w:val="00CE2D84"/>
    <w:rsid w:val="00CE34B5"/>
    <w:rsid w:val="00CE3EF7"/>
    <w:rsid w:val="00CE4A5C"/>
    <w:rsid w:val="00CE568C"/>
    <w:rsid w:val="00CE59BC"/>
    <w:rsid w:val="00CE7D6F"/>
    <w:rsid w:val="00CF046D"/>
    <w:rsid w:val="00CF12F9"/>
    <w:rsid w:val="00CF1801"/>
    <w:rsid w:val="00CF3B89"/>
    <w:rsid w:val="00CF3BE5"/>
    <w:rsid w:val="00CF45D3"/>
    <w:rsid w:val="00CF6CDC"/>
    <w:rsid w:val="00CF6FCF"/>
    <w:rsid w:val="00CF707E"/>
    <w:rsid w:val="00D00002"/>
    <w:rsid w:val="00D008F4"/>
    <w:rsid w:val="00D00DD2"/>
    <w:rsid w:val="00D0152F"/>
    <w:rsid w:val="00D0190E"/>
    <w:rsid w:val="00D020EE"/>
    <w:rsid w:val="00D04329"/>
    <w:rsid w:val="00D061F5"/>
    <w:rsid w:val="00D10629"/>
    <w:rsid w:val="00D12332"/>
    <w:rsid w:val="00D12695"/>
    <w:rsid w:val="00D13A44"/>
    <w:rsid w:val="00D13C32"/>
    <w:rsid w:val="00D15AB8"/>
    <w:rsid w:val="00D15AF6"/>
    <w:rsid w:val="00D16D95"/>
    <w:rsid w:val="00D172EF"/>
    <w:rsid w:val="00D17E78"/>
    <w:rsid w:val="00D21297"/>
    <w:rsid w:val="00D214F0"/>
    <w:rsid w:val="00D22F19"/>
    <w:rsid w:val="00D23948"/>
    <w:rsid w:val="00D24FB6"/>
    <w:rsid w:val="00D2596A"/>
    <w:rsid w:val="00D26044"/>
    <w:rsid w:val="00D30B59"/>
    <w:rsid w:val="00D31A70"/>
    <w:rsid w:val="00D31B01"/>
    <w:rsid w:val="00D33B8E"/>
    <w:rsid w:val="00D33C1C"/>
    <w:rsid w:val="00D33D4F"/>
    <w:rsid w:val="00D368EF"/>
    <w:rsid w:val="00D36C55"/>
    <w:rsid w:val="00D3711A"/>
    <w:rsid w:val="00D37A92"/>
    <w:rsid w:val="00D40825"/>
    <w:rsid w:val="00D40B57"/>
    <w:rsid w:val="00D41127"/>
    <w:rsid w:val="00D4281F"/>
    <w:rsid w:val="00D4290F"/>
    <w:rsid w:val="00D4370E"/>
    <w:rsid w:val="00D43B35"/>
    <w:rsid w:val="00D440F8"/>
    <w:rsid w:val="00D44537"/>
    <w:rsid w:val="00D47DC3"/>
    <w:rsid w:val="00D51FC9"/>
    <w:rsid w:val="00D53AD9"/>
    <w:rsid w:val="00D55DF5"/>
    <w:rsid w:val="00D56F41"/>
    <w:rsid w:val="00D56FFD"/>
    <w:rsid w:val="00D6212E"/>
    <w:rsid w:val="00D629BD"/>
    <w:rsid w:val="00D63639"/>
    <w:rsid w:val="00D64BA0"/>
    <w:rsid w:val="00D651CF"/>
    <w:rsid w:val="00D661DE"/>
    <w:rsid w:val="00D66547"/>
    <w:rsid w:val="00D666D7"/>
    <w:rsid w:val="00D668F2"/>
    <w:rsid w:val="00D66F9C"/>
    <w:rsid w:val="00D70372"/>
    <w:rsid w:val="00D704C1"/>
    <w:rsid w:val="00D705FF"/>
    <w:rsid w:val="00D70841"/>
    <w:rsid w:val="00D71071"/>
    <w:rsid w:val="00D710D3"/>
    <w:rsid w:val="00D71250"/>
    <w:rsid w:val="00D718F6"/>
    <w:rsid w:val="00D721D5"/>
    <w:rsid w:val="00D723B5"/>
    <w:rsid w:val="00D724BE"/>
    <w:rsid w:val="00D72D45"/>
    <w:rsid w:val="00D732BB"/>
    <w:rsid w:val="00D73C35"/>
    <w:rsid w:val="00D745C7"/>
    <w:rsid w:val="00D74B65"/>
    <w:rsid w:val="00D75119"/>
    <w:rsid w:val="00D81FF9"/>
    <w:rsid w:val="00D8263A"/>
    <w:rsid w:val="00D839BC"/>
    <w:rsid w:val="00D83ED6"/>
    <w:rsid w:val="00D853A1"/>
    <w:rsid w:val="00D855EA"/>
    <w:rsid w:val="00D864FF"/>
    <w:rsid w:val="00D86F4C"/>
    <w:rsid w:val="00D8748C"/>
    <w:rsid w:val="00D87881"/>
    <w:rsid w:val="00D87AD3"/>
    <w:rsid w:val="00D907AB"/>
    <w:rsid w:val="00D9187B"/>
    <w:rsid w:val="00D91B5D"/>
    <w:rsid w:val="00D926E9"/>
    <w:rsid w:val="00D929AC"/>
    <w:rsid w:val="00D934A2"/>
    <w:rsid w:val="00D938A0"/>
    <w:rsid w:val="00D93963"/>
    <w:rsid w:val="00D94238"/>
    <w:rsid w:val="00D96BB6"/>
    <w:rsid w:val="00D97783"/>
    <w:rsid w:val="00D977E7"/>
    <w:rsid w:val="00D97965"/>
    <w:rsid w:val="00D97D78"/>
    <w:rsid w:val="00DA0872"/>
    <w:rsid w:val="00DA0B64"/>
    <w:rsid w:val="00DA2159"/>
    <w:rsid w:val="00DA3ABA"/>
    <w:rsid w:val="00DA3B5E"/>
    <w:rsid w:val="00DA43A4"/>
    <w:rsid w:val="00DA54AC"/>
    <w:rsid w:val="00DA589E"/>
    <w:rsid w:val="00DA58B6"/>
    <w:rsid w:val="00DA5D13"/>
    <w:rsid w:val="00DA7257"/>
    <w:rsid w:val="00DA72A8"/>
    <w:rsid w:val="00DA7CE5"/>
    <w:rsid w:val="00DB084C"/>
    <w:rsid w:val="00DB110A"/>
    <w:rsid w:val="00DB2A5B"/>
    <w:rsid w:val="00DB3136"/>
    <w:rsid w:val="00DB392B"/>
    <w:rsid w:val="00DB3F3A"/>
    <w:rsid w:val="00DB4203"/>
    <w:rsid w:val="00DB4A7A"/>
    <w:rsid w:val="00DB4B59"/>
    <w:rsid w:val="00DB6441"/>
    <w:rsid w:val="00DB6BDE"/>
    <w:rsid w:val="00DC0B45"/>
    <w:rsid w:val="00DC20E7"/>
    <w:rsid w:val="00DC24EC"/>
    <w:rsid w:val="00DC2B6A"/>
    <w:rsid w:val="00DC35B2"/>
    <w:rsid w:val="00DC4453"/>
    <w:rsid w:val="00DC50B0"/>
    <w:rsid w:val="00DC52D9"/>
    <w:rsid w:val="00DC696E"/>
    <w:rsid w:val="00DC7CA9"/>
    <w:rsid w:val="00DD0510"/>
    <w:rsid w:val="00DD0F41"/>
    <w:rsid w:val="00DD1C4D"/>
    <w:rsid w:val="00DD54AB"/>
    <w:rsid w:val="00DD5716"/>
    <w:rsid w:val="00DD590A"/>
    <w:rsid w:val="00DD5C7F"/>
    <w:rsid w:val="00DD6DAA"/>
    <w:rsid w:val="00DD75E9"/>
    <w:rsid w:val="00DD770F"/>
    <w:rsid w:val="00DE0EA7"/>
    <w:rsid w:val="00DE295A"/>
    <w:rsid w:val="00DE35D6"/>
    <w:rsid w:val="00DE39A6"/>
    <w:rsid w:val="00DE413D"/>
    <w:rsid w:val="00DE4D8C"/>
    <w:rsid w:val="00DE616C"/>
    <w:rsid w:val="00DE7902"/>
    <w:rsid w:val="00DE7BD7"/>
    <w:rsid w:val="00DE7F4C"/>
    <w:rsid w:val="00DF00E1"/>
    <w:rsid w:val="00DF1557"/>
    <w:rsid w:val="00DF243D"/>
    <w:rsid w:val="00DF6347"/>
    <w:rsid w:val="00DF720F"/>
    <w:rsid w:val="00DF7974"/>
    <w:rsid w:val="00E00A3D"/>
    <w:rsid w:val="00E010F7"/>
    <w:rsid w:val="00E01754"/>
    <w:rsid w:val="00E01E9C"/>
    <w:rsid w:val="00E0212C"/>
    <w:rsid w:val="00E021AF"/>
    <w:rsid w:val="00E0253E"/>
    <w:rsid w:val="00E0347C"/>
    <w:rsid w:val="00E03A1D"/>
    <w:rsid w:val="00E0608A"/>
    <w:rsid w:val="00E06589"/>
    <w:rsid w:val="00E06670"/>
    <w:rsid w:val="00E06F25"/>
    <w:rsid w:val="00E070F2"/>
    <w:rsid w:val="00E07E5E"/>
    <w:rsid w:val="00E115C7"/>
    <w:rsid w:val="00E13DAC"/>
    <w:rsid w:val="00E15002"/>
    <w:rsid w:val="00E15566"/>
    <w:rsid w:val="00E16972"/>
    <w:rsid w:val="00E16D22"/>
    <w:rsid w:val="00E20442"/>
    <w:rsid w:val="00E20EE8"/>
    <w:rsid w:val="00E224A3"/>
    <w:rsid w:val="00E22C08"/>
    <w:rsid w:val="00E23DDC"/>
    <w:rsid w:val="00E24679"/>
    <w:rsid w:val="00E30C8C"/>
    <w:rsid w:val="00E317C6"/>
    <w:rsid w:val="00E3222E"/>
    <w:rsid w:val="00E32B3A"/>
    <w:rsid w:val="00E345F1"/>
    <w:rsid w:val="00E35568"/>
    <w:rsid w:val="00E40461"/>
    <w:rsid w:val="00E40F2D"/>
    <w:rsid w:val="00E41CAA"/>
    <w:rsid w:val="00E42715"/>
    <w:rsid w:val="00E4357A"/>
    <w:rsid w:val="00E43F2A"/>
    <w:rsid w:val="00E4498A"/>
    <w:rsid w:val="00E4571F"/>
    <w:rsid w:val="00E46209"/>
    <w:rsid w:val="00E467D6"/>
    <w:rsid w:val="00E47665"/>
    <w:rsid w:val="00E5003E"/>
    <w:rsid w:val="00E5007D"/>
    <w:rsid w:val="00E5176F"/>
    <w:rsid w:val="00E51A35"/>
    <w:rsid w:val="00E5222C"/>
    <w:rsid w:val="00E524A2"/>
    <w:rsid w:val="00E5286C"/>
    <w:rsid w:val="00E53C21"/>
    <w:rsid w:val="00E53F3F"/>
    <w:rsid w:val="00E545C6"/>
    <w:rsid w:val="00E54D4E"/>
    <w:rsid w:val="00E55D48"/>
    <w:rsid w:val="00E56331"/>
    <w:rsid w:val="00E57C26"/>
    <w:rsid w:val="00E640B3"/>
    <w:rsid w:val="00E643AA"/>
    <w:rsid w:val="00E65867"/>
    <w:rsid w:val="00E658FB"/>
    <w:rsid w:val="00E67917"/>
    <w:rsid w:val="00E67AD7"/>
    <w:rsid w:val="00E707DF"/>
    <w:rsid w:val="00E71691"/>
    <w:rsid w:val="00E72D5B"/>
    <w:rsid w:val="00E72EC7"/>
    <w:rsid w:val="00E73739"/>
    <w:rsid w:val="00E7562B"/>
    <w:rsid w:val="00E75A8D"/>
    <w:rsid w:val="00E7653B"/>
    <w:rsid w:val="00E765D9"/>
    <w:rsid w:val="00E766BE"/>
    <w:rsid w:val="00E76DF3"/>
    <w:rsid w:val="00E778A0"/>
    <w:rsid w:val="00E8043A"/>
    <w:rsid w:val="00E8093B"/>
    <w:rsid w:val="00E83960"/>
    <w:rsid w:val="00E83A3B"/>
    <w:rsid w:val="00E84072"/>
    <w:rsid w:val="00E84860"/>
    <w:rsid w:val="00E84B88"/>
    <w:rsid w:val="00E8786A"/>
    <w:rsid w:val="00E900E1"/>
    <w:rsid w:val="00E904CC"/>
    <w:rsid w:val="00E91754"/>
    <w:rsid w:val="00E924F8"/>
    <w:rsid w:val="00E92551"/>
    <w:rsid w:val="00E9395E"/>
    <w:rsid w:val="00E951A2"/>
    <w:rsid w:val="00E96E35"/>
    <w:rsid w:val="00E97826"/>
    <w:rsid w:val="00EA153E"/>
    <w:rsid w:val="00EA15ED"/>
    <w:rsid w:val="00EA1811"/>
    <w:rsid w:val="00EA2424"/>
    <w:rsid w:val="00EA3005"/>
    <w:rsid w:val="00EA369F"/>
    <w:rsid w:val="00EA421E"/>
    <w:rsid w:val="00EA5279"/>
    <w:rsid w:val="00EA6FB8"/>
    <w:rsid w:val="00EB1E2F"/>
    <w:rsid w:val="00EB4AAC"/>
    <w:rsid w:val="00EB5E5D"/>
    <w:rsid w:val="00EB67EA"/>
    <w:rsid w:val="00EB67FA"/>
    <w:rsid w:val="00EC065A"/>
    <w:rsid w:val="00EC0819"/>
    <w:rsid w:val="00EC16B0"/>
    <w:rsid w:val="00EC24F5"/>
    <w:rsid w:val="00EC29FD"/>
    <w:rsid w:val="00EC3905"/>
    <w:rsid w:val="00EC46BC"/>
    <w:rsid w:val="00EC514F"/>
    <w:rsid w:val="00EC695D"/>
    <w:rsid w:val="00EC73E7"/>
    <w:rsid w:val="00ED0A33"/>
    <w:rsid w:val="00ED1485"/>
    <w:rsid w:val="00ED22B7"/>
    <w:rsid w:val="00ED2365"/>
    <w:rsid w:val="00ED316C"/>
    <w:rsid w:val="00ED39A5"/>
    <w:rsid w:val="00ED3E94"/>
    <w:rsid w:val="00ED40E1"/>
    <w:rsid w:val="00ED4ECA"/>
    <w:rsid w:val="00ED61A6"/>
    <w:rsid w:val="00ED65B7"/>
    <w:rsid w:val="00EE00EF"/>
    <w:rsid w:val="00EE03A3"/>
    <w:rsid w:val="00EE0A94"/>
    <w:rsid w:val="00EE170A"/>
    <w:rsid w:val="00EE19B9"/>
    <w:rsid w:val="00EE1A89"/>
    <w:rsid w:val="00EE4704"/>
    <w:rsid w:val="00EE68AA"/>
    <w:rsid w:val="00EE7B4C"/>
    <w:rsid w:val="00EF257D"/>
    <w:rsid w:val="00EF2E84"/>
    <w:rsid w:val="00EF42A4"/>
    <w:rsid w:val="00EF4C6E"/>
    <w:rsid w:val="00EF4C95"/>
    <w:rsid w:val="00EF5FE2"/>
    <w:rsid w:val="00EF68F3"/>
    <w:rsid w:val="00F00E87"/>
    <w:rsid w:val="00F02631"/>
    <w:rsid w:val="00F026B6"/>
    <w:rsid w:val="00F02B5A"/>
    <w:rsid w:val="00F03C42"/>
    <w:rsid w:val="00F04692"/>
    <w:rsid w:val="00F0534B"/>
    <w:rsid w:val="00F05384"/>
    <w:rsid w:val="00F06833"/>
    <w:rsid w:val="00F07C26"/>
    <w:rsid w:val="00F10E29"/>
    <w:rsid w:val="00F11151"/>
    <w:rsid w:val="00F11A0B"/>
    <w:rsid w:val="00F1234B"/>
    <w:rsid w:val="00F125D4"/>
    <w:rsid w:val="00F12840"/>
    <w:rsid w:val="00F14695"/>
    <w:rsid w:val="00F158F2"/>
    <w:rsid w:val="00F15D07"/>
    <w:rsid w:val="00F178BF"/>
    <w:rsid w:val="00F22007"/>
    <w:rsid w:val="00F233CC"/>
    <w:rsid w:val="00F23936"/>
    <w:rsid w:val="00F23BDB"/>
    <w:rsid w:val="00F25BF5"/>
    <w:rsid w:val="00F26059"/>
    <w:rsid w:val="00F26557"/>
    <w:rsid w:val="00F310B6"/>
    <w:rsid w:val="00F314C7"/>
    <w:rsid w:val="00F33C9B"/>
    <w:rsid w:val="00F343FC"/>
    <w:rsid w:val="00F35881"/>
    <w:rsid w:val="00F35DD0"/>
    <w:rsid w:val="00F36D3C"/>
    <w:rsid w:val="00F36D99"/>
    <w:rsid w:val="00F37B26"/>
    <w:rsid w:val="00F37DDD"/>
    <w:rsid w:val="00F41D67"/>
    <w:rsid w:val="00F43422"/>
    <w:rsid w:val="00F434DB"/>
    <w:rsid w:val="00F43F13"/>
    <w:rsid w:val="00F459BB"/>
    <w:rsid w:val="00F463A0"/>
    <w:rsid w:val="00F469A0"/>
    <w:rsid w:val="00F4701B"/>
    <w:rsid w:val="00F47807"/>
    <w:rsid w:val="00F47827"/>
    <w:rsid w:val="00F531B2"/>
    <w:rsid w:val="00F5330F"/>
    <w:rsid w:val="00F53494"/>
    <w:rsid w:val="00F5540C"/>
    <w:rsid w:val="00F5595F"/>
    <w:rsid w:val="00F562C2"/>
    <w:rsid w:val="00F57102"/>
    <w:rsid w:val="00F60CDB"/>
    <w:rsid w:val="00F61D92"/>
    <w:rsid w:val="00F63FF6"/>
    <w:rsid w:val="00F640A3"/>
    <w:rsid w:val="00F64148"/>
    <w:rsid w:val="00F648A5"/>
    <w:rsid w:val="00F64BA6"/>
    <w:rsid w:val="00F64F76"/>
    <w:rsid w:val="00F66028"/>
    <w:rsid w:val="00F663CE"/>
    <w:rsid w:val="00F663E7"/>
    <w:rsid w:val="00F66A80"/>
    <w:rsid w:val="00F71447"/>
    <w:rsid w:val="00F71A3D"/>
    <w:rsid w:val="00F72430"/>
    <w:rsid w:val="00F725C1"/>
    <w:rsid w:val="00F729FE"/>
    <w:rsid w:val="00F72B93"/>
    <w:rsid w:val="00F7324A"/>
    <w:rsid w:val="00F7412D"/>
    <w:rsid w:val="00F74224"/>
    <w:rsid w:val="00F75E55"/>
    <w:rsid w:val="00F763EF"/>
    <w:rsid w:val="00F7691B"/>
    <w:rsid w:val="00F778F2"/>
    <w:rsid w:val="00F77C18"/>
    <w:rsid w:val="00F77E85"/>
    <w:rsid w:val="00F805B9"/>
    <w:rsid w:val="00F80997"/>
    <w:rsid w:val="00F80AA6"/>
    <w:rsid w:val="00F80CD2"/>
    <w:rsid w:val="00F82934"/>
    <w:rsid w:val="00F83364"/>
    <w:rsid w:val="00F855BB"/>
    <w:rsid w:val="00F92059"/>
    <w:rsid w:val="00F9237C"/>
    <w:rsid w:val="00F92BE8"/>
    <w:rsid w:val="00F92E41"/>
    <w:rsid w:val="00F94E52"/>
    <w:rsid w:val="00F95435"/>
    <w:rsid w:val="00F954FD"/>
    <w:rsid w:val="00F95A50"/>
    <w:rsid w:val="00F95E63"/>
    <w:rsid w:val="00F96A03"/>
    <w:rsid w:val="00F973C6"/>
    <w:rsid w:val="00FA0874"/>
    <w:rsid w:val="00FA1DA9"/>
    <w:rsid w:val="00FA3355"/>
    <w:rsid w:val="00FA4F02"/>
    <w:rsid w:val="00FA63B6"/>
    <w:rsid w:val="00FA689F"/>
    <w:rsid w:val="00FA7108"/>
    <w:rsid w:val="00FA7AA3"/>
    <w:rsid w:val="00FB1816"/>
    <w:rsid w:val="00FB19C7"/>
    <w:rsid w:val="00FB3050"/>
    <w:rsid w:val="00FB36DF"/>
    <w:rsid w:val="00FB4673"/>
    <w:rsid w:val="00FB4FF5"/>
    <w:rsid w:val="00FB5560"/>
    <w:rsid w:val="00FB7254"/>
    <w:rsid w:val="00FC0071"/>
    <w:rsid w:val="00FC104F"/>
    <w:rsid w:val="00FC1D15"/>
    <w:rsid w:val="00FC3E13"/>
    <w:rsid w:val="00FC5D63"/>
    <w:rsid w:val="00FC6C64"/>
    <w:rsid w:val="00FD05B7"/>
    <w:rsid w:val="00FD1707"/>
    <w:rsid w:val="00FD21BC"/>
    <w:rsid w:val="00FD2585"/>
    <w:rsid w:val="00FD306F"/>
    <w:rsid w:val="00FD33F1"/>
    <w:rsid w:val="00FD6E15"/>
    <w:rsid w:val="00FD6F19"/>
    <w:rsid w:val="00FD7862"/>
    <w:rsid w:val="00FE0483"/>
    <w:rsid w:val="00FE0570"/>
    <w:rsid w:val="00FE16A7"/>
    <w:rsid w:val="00FE299F"/>
    <w:rsid w:val="00FE2F72"/>
    <w:rsid w:val="00FE359A"/>
    <w:rsid w:val="00FE4CC7"/>
    <w:rsid w:val="00FE5141"/>
    <w:rsid w:val="00FE75FD"/>
    <w:rsid w:val="00FE7E83"/>
    <w:rsid w:val="00FF0C67"/>
    <w:rsid w:val="00FF174C"/>
    <w:rsid w:val="00FF35C1"/>
    <w:rsid w:val="00FF4300"/>
    <w:rsid w:val="00FF4BAE"/>
    <w:rsid w:val="00FF6185"/>
    <w:rsid w:val="00FF6B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D4EA6E-B40C-4978-B78A-AD8DE7FD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B4C"/>
    <w:rPr>
      <w:sz w:val="24"/>
      <w:szCs w:val="24"/>
    </w:rPr>
  </w:style>
  <w:style w:type="paragraph" w:styleId="Heading1">
    <w:name w:val="heading 1"/>
    <w:basedOn w:val="Normal"/>
    <w:next w:val="Normal"/>
    <w:link w:val="Heading1Char"/>
    <w:qFormat/>
    <w:rsid w:val="002E0B4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E0B4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E0B4C"/>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E0B4C"/>
    <w:pPr>
      <w:keepNext/>
      <w:jc w:val="both"/>
      <w:outlineLvl w:val="3"/>
    </w:pPr>
    <w:rPr>
      <w:rFonts w:ascii="Arial Narrow" w:hAnsi="Arial Narrow"/>
      <w:b/>
      <w:color w:val="003366"/>
      <w:sz w:val="22"/>
      <w:szCs w:val="22"/>
    </w:rPr>
  </w:style>
  <w:style w:type="paragraph" w:styleId="Heading5">
    <w:name w:val="heading 5"/>
    <w:basedOn w:val="Normal"/>
    <w:next w:val="Normal"/>
    <w:link w:val="Heading5Char"/>
    <w:qFormat/>
    <w:rsid w:val="002E0B4C"/>
    <w:pPr>
      <w:keepNext/>
      <w:jc w:val="both"/>
      <w:outlineLvl w:val="4"/>
    </w:pPr>
    <w:rPr>
      <w:rFonts w:ascii="Arial Narrow" w:hAnsi="Arial Narrow"/>
      <w:b/>
      <w:szCs w:val="22"/>
    </w:rPr>
  </w:style>
  <w:style w:type="paragraph" w:styleId="Heading6">
    <w:name w:val="heading 6"/>
    <w:basedOn w:val="Normal"/>
    <w:next w:val="Normal"/>
    <w:link w:val="Heading6Char"/>
    <w:qFormat/>
    <w:rsid w:val="002E0B4C"/>
    <w:pPr>
      <w:keepNext/>
      <w:jc w:val="both"/>
      <w:outlineLvl w:val="5"/>
    </w:pPr>
    <w:rPr>
      <w:rFonts w:ascii="Arial Narrow" w:hAnsi="Arial Narrow"/>
      <w:b/>
      <w:sz w:val="22"/>
      <w:szCs w:val="22"/>
    </w:rPr>
  </w:style>
  <w:style w:type="paragraph" w:styleId="Heading7">
    <w:name w:val="heading 7"/>
    <w:basedOn w:val="Normal"/>
    <w:next w:val="Normal"/>
    <w:link w:val="Heading7Char"/>
    <w:qFormat/>
    <w:rsid w:val="002E0B4C"/>
    <w:pPr>
      <w:keepNext/>
      <w:jc w:val="both"/>
      <w:outlineLvl w:val="6"/>
    </w:pPr>
    <w:rPr>
      <w:rFonts w:ascii="Arial Narrow" w:hAnsi="Arial Narrow"/>
      <w:b/>
      <w:i/>
      <w:sz w:val="22"/>
      <w:szCs w:val="22"/>
    </w:rPr>
  </w:style>
  <w:style w:type="paragraph" w:styleId="Heading8">
    <w:name w:val="heading 8"/>
    <w:basedOn w:val="Normal"/>
    <w:next w:val="Normal"/>
    <w:link w:val="Heading8Char"/>
    <w:qFormat/>
    <w:rsid w:val="002E0B4C"/>
    <w:pPr>
      <w:keepNext/>
      <w:spacing w:before="100" w:beforeAutospacing="1" w:after="100" w:afterAutospacing="1"/>
      <w:jc w:val="both"/>
      <w:outlineLvl w:val="7"/>
    </w:pPr>
    <w:rPr>
      <w:rFonts w:ascii="Arial Narrow" w:hAnsi="Arial Narrow"/>
      <w:b/>
      <w:sz w:val="16"/>
      <w:szCs w:val="16"/>
    </w:rPr>
  </w:style>
  <w:style w:type="paragraph" w:styleId="Heading9">
    <w:name w:val="heading 9"/>
    <w:basedOn w:val="Normal"/>
    <w:next w:val="Normal"/>
    <w:link w:val="Heading9Char"/>
    <w:qFormat/>
    <w:rsid w:val="002E0B4C"/>
    <w:pPr>
      <w:keepNext/>
      <w:jc w:val="both"/>
      <w:outlineLvl w:val="8"/>
    </w:pPr>
    <w:rPr>
      <w:rFonts w:ascii="Arial Narrow" w:hAnsi="Arial Narrow"/>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0B4C"/>
    <w:pPr>
      <w:tabs>
        <w:tab w:val="center" w:pos="4153"/>
        <w:tab w:val="right" w:pos="8306"/>
      </w:tabs>
    </w:pPr>
  </w:style>
  <w:style w:type="paragraph" w:styleId="Footer">
    <w:name w:val="footer"/>
    <w:basedOn w:val="Normal"/>
    <w:link w:val="FooterChar"/>
    <w:rsid w:val="002E0B4C"/>
    <w:pPr>
      <w:tabs>
        <w:tab w:val="center" w:pos="4153"/>
        <w:tab w:val="right" w:pos="8306"/>
      </w:tabs>
    </w:pPr>
  </w:style>
  <w:style w:type="character" w:styleId="PageNumber">
    <w:name w:val="page number"/>
    <w:basedOn w:val="DefaultParagraphFont"/>
    <w:rsid w:val="002E0B4C"/>
  </w:style>
  <w:style w:type="paragraph" w:styleId="BalloonText">
    <w:name w:val="Balloon Text"/>
    <w:basedOn w:val="Normal"/>
    <w:link w:val="BalloonTextChar"/>
    <w:semiHidden/>
    <w:rsid w:val="002E0B4C"/>
    <w:rPr>
      <w:rFonts w:ascii="Tahoma" w:hAnsi="Tahoma"/>
      <w:sz w:val="16"/>
      <w:szCs w:val="16"/>
    </w:rPr>
  </w:style>
  <w:style w:type="paragraph" w:styleId="BodyTextIndent">
    <w:name w:val="Body Text Indent"/>
    <w:basedOn w:val="Normal"/>
    <w:link w:val="BodyTextIndentChar"/>
    <w:rsid w:val="002E0B4C"/>
    <w:pPr>
      <w:ind w:left="720" w:hanging="720"/>
      <w:jc w:val="both"/>
    </w:pPr>
    <w:rPr>
      <w:sz w:val="22"/>
      <w:szCs w:val="22"/>
    </w:rPr>
  </w:style>
  <w:style w:type="paragraph" w:styleId="BodyText">
    <w:name w:val="Body Text"/>
    <w:basedOn w:val="Normal"/>
    <w:link w:val="BodyTextChar"/>
    <w:rsid w:val="002E0B4C"/>
    <w:pPr>
      <w:jc w:val="both"/>
    </w:pPr>
    <w:rPr>
      <w:sz w:val="22"/>
      <w:szCs w:val="22"/>
    </w:rPr>
  </w:style>
  <w:style w:type="paragraph" w:styleId="BodyTextIndent2">
    <w:name w:val="Body Text Indent 2"/>
    <w:basedOn w:val="Normal"/>
    <w:link w:val="BodyTextIndent2Char"/>
    <w:rsid w:val="002E0B4C"/>
    <w:pPr>
      <w:ind w:left="284"/>
      <w:jc w:val="both"/>
    </w:pPr>
    <w:rPr>
      <w:sz w:val="22"/>
      <w:szCs w:val="22"/>
    </w:rPr>
  </w:style>
  <w:style w:type="paragraph" w:styleId="PlainText">
    <w:name w:val="Plain Text"/>
    <w:basedOn w:val="Normal"/>
    <w:link w:val="PlainTextChar"/>
    <w:rsid w:val="002E0B4C"/>
    <w:rPr>
      <w:rFonts w:ascii="Courier New" w:hAnsi="Courier New"/>
      <w:sz w:val="20"/>
      <w:szCs w:val="20"/>
    </w:rPr>
  </w:style>
  <w:style w:type="paragraph" w:styleId="BodyText2">
    <w:name w:val="Body Text 2"/>
    <w:basedOn w:val="Normal"/>
    <w:link w:val="BodyText2Char"/>
    <w:rsid w:val="002E0B4C"/>
    <w:pPr>
      <w:spacing w:after="120" w:line="480" w:lineRule="auto"/>
    </w:pPr>
  </w:style>
  <w:style w:type="paragraph" w:styleId="FootnoteText">
    <w:name w:val="footnote text"/>
    <w:aliases w:val="Footnote,Fußnote,Fodnotetekst Tegn Tegn Tegn Tegn Tegn Tegn Tegn Char Char,Fodnotetekst Tegn Tegn Tegn Tegn Tegn Tegn Tegn Char Char Char Char,Fodnotetekst Tegn Tegn Tegn Tegn Tegn Tegn Tegn,lábléc,C26 Footnote body, Char"/>
    <w:basedOn w:val="Normal"/>
    <w:link w:val="FootnoteTextChar"/>
    <w:uiPriority w:val="99"/>
    <w:rsid w:val="002E0B4C"/>
    <w:rPr>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2E0B4C"/>
    <w:rPr>
      <w:vertAlign w:val="superscript"/>
    </w:rPr>
  </w:style>
  <w:style w:type="table" w:styleId="TableGrid">
    <w:name w:val="Table Grid"/>
    <w:basedOn w:val="TableNormal"/>
    <w:uiPriority w:val="39"/>
    <w:rsid w:val="00D4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lábléc Char"/>
    <w:link w:val="FootnoteText"/>
    <w:uiPriority w:val="99"/>
    <w:rsid w:val="00476C30"/>
    <w:rPr>
      <w:lang w:val="en-GB" w:eastAsia="el-GR" w:bidi="ar-SA"/>
    </w:rPr>
  </w:style>
  <w:style w:type="character" w:styleId="CommentReference">
    <w:name w:val="annotation reference"/>
    <w:semiHidden/>
    <w:rsid w:val="00610DA8"/>
    <w:rPr>
      <w:sz w:val="16"/>
      <w:szCs w:val="16"/>
    </w:rPr>
  </w:style>
  <w:style w:type="paragraph" w:styleId="CommentText">
    <w:name w:val="annotation text"/>
    <w:basedOn w:val="Normal"/>
    <w:link w:val="CommentTextChar"/>
    <w:semiHidden/>
    <w:rsid w:val="00610DA8"/>
    <w:rPr>
      <w:sz w:val="20"/>
      <w:szCs w:val="20"/>
    </w:rPr>
  </w:style>
  <w:style w:type="paragraph" w:styleId="CommentSubject">
    <w:name w:val="annotation subject"/>
    <w:basedOn w:val="CommentText"/>
    <w:next w:val="CommentText"/>
    <w:link w:val="CommentSubjectChar"/>
    <w:semiHidden/>
    <w:rsid w:val="00610DA8"/>
    <w:rPr>
      <w:b/>
      <w:bCs/>
    </w:rPr>
  </w:style>
  <w:style w:type="paragraph" w:styleId="ListParagraph">
    <w:name w:val="List Paragraph"/>
    <w:basedOn w:val="Normal"/>
    <w:uiPriority w:val="34"/>
    <w:qFormat/>
    <w:rsid w:val="00875F08"/>
    <w:pPr>
      <w:spacing w:after="200" w:line="276" w:lineRule="auto"/>
      <w:ind w:left="720"/>
      <w:contextualSpacing/>
    </w:pPr>
    <w:rPr>
      <w:rFonts w:ascii="Calibri" w:eastAsia="Calibri" w:hAnsi="Calibri"/>
      <w:sz w:val="22"/>
      <w:szCs w:val="22"/>
      <w:lang w:eastAsia="en-US"/>
    </w:rPr>
  </w:style>
  <w:style w:type="paragraph" w:customStyle="1" w:styleId="CharCharCharCharCharCharCharCharCharCharCharCharChar">
    <w:name w:val="Char Char Char Char Char Char Char Char Char Char Char Char Char"/>
    <w:basedOn w:val="Normal"/>
    <w:rsid w:val="00F64BA6"/>
    <w:pPr>
      <w:spacing w:after="160" w:line="240" w:lineRule="exact"/>
      <w:jc w:val="both"/>
    </w:pPr>
    <w:rPr>
      <w:rFonts w:ascii="Verdana" w:hAnsi="Verdana"/>
      <w:sz w:val="20"/>
      <w:szCs w:val="20"/>
      <w:lang w:val="en-US" w:eastAsia="en-US"/>
    </w:rPr>
  </w:style>
  <w:style w:type="paragraph" w:styleId="NormalWeb">
    <w:name w:val="Normal (Web)"/>
    <w:basedOn w:val="Normal"/>
    <w:uiPriority w:val="99"/>
    <w:unhideWhenUsed/>
    <w:rsid w:val="00707015"/>
    <w:pPr>
      <w:spacing w:before="100" w:beforeAutospacing="1" w:after="100" w:afterAutospacing="1"/>
    </w:pPr>
    <w:rPr>
      <w:lang w:val="en-US" w:bidi="en-US"/>
    </w:rPr>
  </w:style>
  <w:style w:type="character" w:styleId="LineNumber">
    <w:name w:val="line number"/>
    <w:basedOn w:val="DefaultParagraphFont"/>
    <w:rsid w:val="00707015"/>
  </w:style>
  <w:style w:type="paragraph" w:styleId="NoSpacing">
    <w:name w:val="No Spacing"/>
    <w:link w:val="NoSpacingChar"/>
    <w:uiPriority w:val="1"/>
    <w:qFormat/>
    <w:rsid w:val="00C56FF3"/>
    <w:rPr>
      <w:rFonts w:ascii="Calibri" w:eastAsia="Calibri" w:hAnsi="Calibri"/>
      <w:sz w:val="22"/>
      <w:szCs w:val="22"/>
      <w:lang w:eastAsia="en-US"/>
    </w:rPr>
  </w:style>
  <w:style w:type="character" w:customStyle="1" w:styleId="a">
    <w:name w:val="Σύμβολο υποσημείωσης"/>
    <w:rsid w:val="00835387"/>
    <w:rPr>
      <w:vertAlign w:val="superscript"/>
    </w:rPr>
  </w:style>
  <w:style w:type="character" w:customStyle="1" w:styleId="1">
    <w:name w:val="Παραπομπή υποσημείωσης1"/>
    <w:rsid w:val="00835387"/>
    <w:rPr>
      <w:vertAlign w:val="superscript"/>
    </w:rPr>
  </w:style>
  <w:style w:type="paragraph" w:styleId="Revision">
    <w:name w:val="Revision"/>
    <w:hidden/>
    <w:uiPriority w:val="99"/>
    <w:semiHidden/>
    <w:rsid w:val="0056106D"/>
    <w:rPr>
      <w:sz w:val="24"/>
      <w:szCs w:val="24"/>
    </w:rPr>
  </w:style>
  <w:style w:type="paragraph" w:styleId="EndnoteText">
    <w:name w:val="endnote text"/>
    <w:basedOn w:val="Normal"/>
    <w:link w:val="EndnoteTextChar"/>
    <w:semiHidden/>
    <w:unhideWhenUsed/>
    <w:rsid w:val="00F12840"/>
    <w:rPr>
      <w:sz w:val="20"/>
      <w:szCs w:val="20"/>
    </w:rPr>
  </w:style>
  <w:style w:type="character" w:customStyle="1" w:styleId="EndnoteTextChar">
    <w:name w:val="Endnote Text Char"/>
    <w:basedOn w:val="DefaultParagraphFont"/>
    <w:link w:val="EndnoteText"/>
    <w:semiHidden/>
    <w:rsid w:val="00F12840"/>
  </w:style>
  <w:style w:type="character" w:styleId="EndnoteReference">
    <w:name w:val="endnote reference"/>
    <w:semiHidden/>
    <w:unhideWhenUsed/>
    <w:rsid w:val="00F12840"/>
    <w:rPr>
      <w:vertAlign w:val="superscript"/>
    </w:rPr>
  </w:style>
  <w:style w:type="paragraph" w:customStyle="1" w:styleId="aplo">
    <w:name w:val="aplo"/>
    <w:basedOn w:val="Normal"/>
    <w:rsid w:val="004F40E8"/>
    <w:pPr>
      <w:tabs>
        <w:tab w:val="left" w:pos="567"/>
      </w:tabs>
      <w:spacing w:before="120"/>
      <w:jc w:val="both"/>
    </w:pPr>
    <w:rPr>
      <w:sz w:val="22"/>
      <w:szCs w:val="20"/>
      <w:lang w:val="en-GB"/>
    </w:rPr>
  </w:style>
  <w:style w:type="paragraph" w:styleId="Title">
    <w:name w:val="Title"/>
    <w:basedOn w:val="Normal"/>
    <w:link w:val="TitleChar"/>
    <w:qFormat/>
    <w:rsid w:val="004F40E8"/>
    <w:pPr>
      <w:jc w:val="center"/>
    </w:pPr>
    <w:rPr>
      <w:b/>
      <w:bCs/>
      <w:lang w:eastAsia="en-US"/>
    </w:rPr>
  </w:style>
  <w:style w:type="character" w:customStyle="1" w:styleId="TitleChar">
    <w:name w:val="Title Char"/>
    <w:link w:val="Title"/>
    <w:rsid w:val="004F40E8"/>
    <w:rPr>
      <w:b/>
      <w:bCs/>
      <w:sz w:val="24"/>
      <w:szCs w:val="24"/>
      <w:lang w:eastAsia="en-US"/>
    </w:rPr>
  </w:style>
  <w:style w:type="numbering" w:customStyle="1" w:styleId="10">
    <w:name w:val="Χωρίς λίστα1"/>
    <w:next w:val="NoList"/>
    <w:semiHidden/>
    <w:rsid w:val="004F40E8"/>
  </w:style>
  <w:style w:type="paragraph" w:customStyle="1" w:styleId="keimeno">
    <w:name w:val="keimeno"/>
    <w:basedOn w:val="Normal"/>
    <w:rsid w:val="004F40E8"/>
    <w:pPr>
      <w:jc w:val="both"/>
    </w:pPr>
    <w:rPr>
      <w:rFonts w:ascii="Arial" w:hAnsi="Arial"/>
      <w:sz w:val="22"/>
      <w:szCs w:val="20"/>
    </w:rPr>
  </w:style>
  <w:style w:type="paragraph" w:styleId="BodyText3">
    <w:name w:val="Body Text 3"/>
    <w:basedOn w:val="Normal"/>
    <w:link w:val="BodyText3Char"/>
    <w:rsid w:val="004F40E8"/>
    <w:pPr>
      <w:jc w:val="both"/>
    </w:pPr>
    <w:rPr>
      <w:sz w:val="22"/>
      <w:szCs w:val="20"/>
    </w:rPr>
  </w:style>
  <w:style w:type="character" w:customStyle="1" w:styleId="BodyText3Char">
    <w:name w:val="Body Text 3 Char"/>
    <w:link w:val="BodyText3"/>
    <w:rsid w:val="004F40E8"/>
    <w:rPr>
      <w:sz w:val="22"/>
    </w:rPr>
  </w:style>
  <w:style w:type="paragraph" w:customStyle="1" w:styleId="Giota">
    <w:name w:val="Giota"/>
    <w:basedOn w:val="Normal"/>
    <w:rsid w:val="004F40E8"/>
    <w:pPr>
      <w:tabs>
        <w:tab w:val="left" w:pos="567"/>
        <w:tab w:val="left" w:pos="1134"/>
        <w:tab w:val="left" w:pos="1701"/>
      </w:tabs>
      <w:jc w:val="both"/>
    </w:pPr>
    <w:rPr>
      <w:rFonts w:ascii="Arial" w:hAnsi="Arial"/>
      <w:sz w:val="18"/>
      <w:szCs w:val="20"/>
    </w:rPr>
  </w:style>
  <w:style w:type="paragraph" w:customStyle="1" w:styleId="11">
    <w:name w:val="Στυλ1"/>
    <w:basedOn w:val="Normal"/>
    <w:rsid w:val="004F40E8"/>
    <w:pPr>
      <w:spacing w:before="120"/>
      <w:ind w:firstLine="567"/>
    </w:pPr>
    <w:rPr>
      <w:rFonts w:ascii="Arial" w:hAnsi="Arial"/>
      <w:sz w:val="20"/>
      <w:szCs w:val="20"/>
    </w:rPr>
  </w:style>
  <w:style w:type="paragraph" w:styleId="BodyTextIndent3">
    <w:name w:val="Body Text Indent 3"/>
    <w:basedOn w:val="Normal"/>
    <w:link w:val="BodyTextIndent3Char"/>
    <w:rsid w:val="004F40E8"/>
    <w:pPr>
      <w:tabs>
        <w:tab w:val="num" w:pos="652"/>
      </w:tabs>
      <w:spacing w:after="120"/>
      <w:ind w:left="652" w:hanging="652"/>
      <w:jc w:val="both"/>
    </w:pPr>
    <w:rPr>
      <w:sz w:val="22"/>
      <w:szCs w:val="20"/>
    </w:rPr>
  </w:style>
  <w:style w:type="character" w:customStyle="1" w:styleId="BodyTextIndent3Char">
    <w:name w:val="Body Text Indent 3 Char"/>
    <w:link w:val="BodyTextIndent3"/>
    <w:rsid w:val="004F40E8"/>
    <w:rPr>
      <w:sz w:val="22"/>
    </w:rPr>
  </w:style>
  <w:style w:type="character" w:styleId="Hyperlink">
    <w:name w:val="Hyperlink"/>
    <w:uiPriority w:val="99"/>
    <w:rsid w:val="004F40E8"/>
    <w:rPr>
      <w:color w:val="0000FF"/>
      <w:u w:val="single"/>
    </w:rPr>
  </w:style>
  <w:style w:type="paragraph" w:customStyle="1" w:styleId="CharCharCharChar">
    <w:name w:val="Char Char Char Char"/>
    <w:basedOn w:val="Normal"/>
    <w:rsid w:val="004F40E8"/>
    <w:pPr>
      <w:spacing w:after="160" w:line="240" w:lineRule="exact"/>
      <w:jc w:val="both"/>
    </w:pPr>
    <w:rPr>
      <w:rFonts w:ascii="Verdana" w:hAnsi="Verdana"/>
      <w:sz w:val="20"/>
      <w:szCs w:val="20"/>
      <w:lang w:val="en-US" w:eastAsia="en-US"/>
    </w:rPr>
  </w:style>
  <w:style w:type="character" w:styleId="Strong">
    <w:name w:val="Strong"/>
    <w:qFormat/>
    <w:rsid w:val="004F40E8"/>
    <w:rPr>
      <w:b/>
      <w:bCs/>
    </w:rPr>
  </w:style>
  <w:style w:type="paragraph" w:customStyle="1" w:styleId="Default">
    <w:name w:val="Default"/>
    <w:rsid w:val="004F40E8"/>
    <w:pPr>
      <w:autoSpaceDE w:val="0"/>
      <w:autoSpaceDN w:val="0"/>
      <w:adjustRightInd w:val="0"/>
    </w:pPr>
    <w:rPr>
      <w:rFonts w:eastAsia="Calibri"/>
      <w:color w:val="000000"/>
      <w:sz w:val="24"/>
      <w:szCs w:val="24"/>
      <w:lang w:eastAsia="en-US"/>
    </w:rPr>
  </w:style>
  <w:style w:type="paragraph" w:styleId="HTMLPreformatted">
    <w:name w:val="HTML Preformatted"/>
    <w:basedOn w:val="Normal"/>
    <w:link w:val="HTMLPreformattedChar"/>
    <w:uiPriority w:val="99"/>
    <w:unhideWhenUsed/>
    <w:rsid w:val="004F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4F40E8"/>
    <w:rPr>
      <w:rFonts w:ascii="Courier New" w:hAnsi="Courier New" w:cs="Courier New"/>
    </w:rPr>
  </w:style>
  <w:style w:type="character" w:styleId="FollowedHyperlink">
    <w:name w:val="FollowedHyperlink"/>
    <w:uiPriority w:val="99"/>
    <w:unhideWhenUsed/>
    <w:rsid w:val="004F40E8"/>
    <w:rPr>
      <w:color w:val="800080"/>
      <w:u w:val="single"/>
    </w:rPr>
  </w:style>
  <w:style w:type="paragraph" w:customStyle="1" w:styleId="font5">
    <w:name w:val="font5"/>
    <w:basedOn w:val="Normal"/>
    <w:rsid w:val="004F40E8"/>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40E8"/>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4F40E8"/>
    <w:pPr>
      <w:spacing w:before="100" w:beforeAutospacing="1" w:after="100" w:afterAutospacing="1"/>
    </w:pPr>
    <w:rPr>
      <w:rFonts w:ascii="Segoe UI" w:hAnsi="Segoe UI" w:cs="Segoe UI"/>
      <w:b/>
      <w:bCs/>
      <w:i/>
      <w:iCs/>
      <w:sz w:val="16"/>
      <w:szCs w:val="16"/>
    </w:rPr>
  </w:style>
  <w:style w:type="paragraph" w:customStyle="1" w:styleId="xl52827">
    <w:name w:val="xl52827"/>
    <w:basedOn w:val="Normal"/>
    <w:rsid w:val="004F40E8"/>
    <w:pPr>
      <w:spacing w:before="100" w:beforeAutospacing="1" w:after="100" w:afterAutospacing="1"/>
      <w:textAlignment w:val="center"/>
    </w:pPr>
    <w:rPr>
      <w:rFonts w:ascii="Segoe UI" w:hAnsi="Segoe UI" w:cs="Segoe UI"/>
      <w:sz w:val="16"/>
      <w:szCs w:val="16"/>
    </w:rPr>
  </w:style>
  <w:style w:type="paragraph" w:customStyle="1" w:styleId="xl52828">
    <w:name w:val="xl52828"/>
    <w:basedOn w:val="Normal"/>
    <w:rsid w:val="004F40E8"/>
    <w:pPr>
      <w:shd w:val="clear" w:color="000000" w:fill="BFBFBF"/>
      <w:spacing w:before="100" w:beforeAutospacing="1" w:after="100" w:afterAutospacing="1"/>
      <w:textAlignment w:val="center"/>
    </w:pPr>
    <w:rPr>
      <w:rFonts w:ascii="Segoe UI" w:hAnsi="Segoe UI" w:cs="Segoe UI"/>
      <w:sz w:val="16"/>
      <w:szCs w:val="16"/>
    </w:rPr>
  </w:style>
  <w:style w:type="paragraph" w:customStyle="1" w:styleId="xl52829">
    <w:name w:val="xl52829"/>
    <w:basedOn w:val="Normal"/>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0">
    <w:name w:val="xl52830"/>
    <w:basedOn w:val="Normal"/>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1">
    <w:name w:val="xl52831"/>
    <w:basedOn w:val="Normal"/>
    <w:rsid w:val="004F40E8"/>
    <w:pPr>
      <w:spacing w:before="100" w:beforeAutospacing="1" w:after="100" w:afterAutospacing="1"/>
      <w:textAlignment w:val="center"/>
    </w:pPr>
    <w:rPr>
      <w:rFonts w:ascii="Segoe UI" w:hAnsi="Segoe UI" w:cs="Segoe UI"/>
      <w:b/>
      <w:bCs/>
      <w:sz w:val="16"/>
      <w:szCs w:val="16"/>
    </w:rPr>
  </w:style>
  <w:style w:type="paragraph" w:customStyle="1" w:styleId="xl52832">
    <w:name w:val="xl52832"/>
    <w:basedOn w:val="Normal"/>
    <w:rsid w:val="004F40E8"/>
    <w:pPr>
      <w:shd w:val="clear" w:color="000000" w:fill="BFBFBF"/>
      <w:spacing w:before="100" w:beforeAutospacing="1" w:after="100" w:afterAutospacing="1"/>
      <w:textAlignment w:val="center"/>
    </w:pPr>
    <w:rPr>
      <w:rFonts w:ascii="Segoe UI" w:hAnsi="Segoe UI" w:cs="Segoe UI"/>
      <w:b/>
      <w:bCs/>
      <w:sz w:val="16"/>
      <w:szCs w:val="16"/>
    </w:rPr>
  </w:style>
  <w:style w:type="paragraph" w:customStyle="1" w:styleId="xl52833">
    <w:name w:val="xl52833"/>
    <w:basedOn w:val="Normal"/>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4">
    <w:name w:val="xl52834"/>
    <w:basedOn w:val="Normal"/>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5">
    <w:name w:val="xl52835"/>
    <w:basedOn w:val="Normal"/>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6">
    <w:name w:val="xl52836"/>
    <w:basedOn w:val="Normal"/>
    <w:rsid w:val="004F40E8"/>
    <w:pPr>
      <w:spacing w:before="100" w:beforeAutospacing="1" w:after="100" w:afterAutospacing="1"/>
      <w:textAlignment w:val="center"/>
    </w:pPr>
    <w:rPr>
      <w:rFonts w:ascii="Segoe UI" w:hAnsi="Segoe UI" w:cs="Segoe UI"/>
      <w:color w:val="C00000"/>
      <w:sz w:val="16"/>
      <w:szCs w:val="16"/>
    </w:rPr>
  </w:style>
  <w:style w:type="paragraph" w:customStyle="1" w:styleId="xl52837">
    <w:name w:val="xl52837"/>
    <w:basedOn w:val="Normal"/>
    <w:rsid w:val="004F40E8"/>
    <w:pPr>
      <w:pBdr>
        <w:left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8">
    <w:name w:val="xl52838"/>
    <w:basedOn w:val="Normal"/>
    <w:rsid w:val="004F40E8"/>
    <w:pPr>
      <w:pBdr>
        <w:left w:val="single" w:sz="4" w:space="0" w:color="auto"/>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9">
    <w:name w:val="xl52839"/>
    <w:basedOn w:val="Normal"/>
    <w:rsid w:val="004F40E8"/>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40">
    <w:name w:val="xl52840"/>
    <w:basedOn w:val="Normal"/>
    <w:rsid w:val="004F40E8"/>
    <w:pPr>
      <w:spacing w:before="100" w:beforeAutospacing="1" w:after="100" w:afterAutospacing="1"/>
      <w:textAlignment w:val="center"/>
    </w:pPr>
    <w:rPr>
      <w:rFonts w:ascii="Segoe UI" w:hAnsi="Segoe UI" w:cs="Segoe UI"/>
      <w:sz w:val="16"/>
      <w:szCs w:val="16"/>
    </w:rPr>
  </w:style>
  <w:style w:type="paragraph" w:customStyle="1" w:styleId="xl52841">
    <w:name w:val="xl52841"/>
    <w:basedOn w:val="Normal"/>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2">
    <w:name w:val="xl52842"/>
    <w:basedOn w:val="Normal"/>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3">
    <w:name w:val="xl52843"/>
    <w:basedOn w:val="Normal"/>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4">
    <w:name w:val="xl52844"/>
    <w:basedOn w:val="Normal"/>
    <w:rsid w:val="004F40E8"/>
    <w:pPr>
      <w:spacing w:before="100" w:beforeAutospacing="1" w:after="100" w:afterAutospacing="1"/>
      <w:jc w:val="center"/>
      <w:textAlignment w:val="center"/>
    </w:pPr>
    <w:rPr>
      <w:rFonts w:ascii="Segoe UI" w:hAnsi="Segoe UI" w:cs="Segoe UI"/>
      <w:sz w:val="16"/>
      <w:szCs w:val="16"/>
    </w:rPr>
  </w:style>
  <w:style w:type="paragraph" w:customStyle="1" w:styleId="xl52845">
    <w:name w:val="xl52845"/>
    <w:basedOn w:val="Normal"/>
    <w:rsid w:val="004F40E8"/>
    <w:pPr>
      <w:pBdr>
        <w:left w:val="single" w:sz="4"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846">
    <w:name w:val="xl52846"/>
    <w:basedOn w:val="Normal"/>
    <w:rsid w:val="004F40E8"/>
    <w:pPr>
      <w:pBdr>
        <w:left w:val="single" w:sz="4" w:space="0" w:color="auto"/>
        <w:right w:val="single" w:sz="8" w:space="0" w:color="auto"/>
      </w:pBdr>
      <w:spacing w:before="100" w:beforeAutospacing="1" w:after="100" w:afterAutospacing="1"/>
      <w:jc w:val="center"/>
    </w:pPr>
    <w:rPr>
      <w:rFonts w:ascii="Segoe UI" w:hAnsi="Segoe UI" w:cs="Segoe UI"/>
      <w:sz w:val="16"/>
      <w:szCs w:val="16"/>
    </w:rPr>
  </w:style>
  <w:style w:type="paragraph" w:customStyle="1" w:styleId="xl52847">
    <w:name w:val="xl52847"/>
    <w:basedOn w:val="Normal"/>
    <w:rsid w:val="004F40E8"/>
    <w:pPr>
      <w:pBdr>
        <w:left w:val="single" w:sz="4"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48">
    <w:name w:val="xl52848"/>
    <w:basedOn w:val="Normal"/>
    <w:rsid w:val="004F40E8"/>
    <w:pPr>
      <w:pBdr>
        <w:left w:val="single" w:sz="4" w:space="0" w:color="auto"/>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849">
    <w:name w:val="xl52849"/>
    <w:basedOn w:val="Normal"/>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0">
    <w:name w:val="xl52850"/>
    <w:basedOn w:val="Normal"/>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1">
    <w:name w:val="xl52851"/>
    <w:basedOn w:val="Normal"/>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2">
    <w:name w:val="xl52852"/>
    <w:basedOn w:val="Normal"/>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3">
    <w:name w:val="xl52853"/>
    <w:basedOn w:val="Normal"/>
    <w:rsid w:val="004F40E8"/>
    <w:pPr>
      <w:pBdr>
        <w:lef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54">
    <w:name w:val="xl52854"/>
    <w:basedOn w:val="Normal"/>
    <w:rsid w:val="004F40E8"/>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55">
    <w:name w:val="xl52855"/>
    <w:basedOn w:val="Normal"/>
    <w:rsid w:val="004F40E8"/>
    <w:pPr>
      <w:pBdr>
        <w:left w:val="single" w:sz="4" w:space="0" w:color="auto"/>
      </w:pBdr>
      <w:spacing w:before="100" w:beforeAutospacing="1" w:after="100" w:afterAutospacing="1"/>
      <w:jc w:val="center"/>
    </w:pPr>
    <w:rPr>
      <w:rFonts w:ascii="Segoe UI" w:hAnsi="Segoe UI" w:cs="Segoe UI"/>
      <w:sz w:val="16"/>
      <w:szCs w:val="16"/>
    </w:rPr>
  </w:style>
  <w:style w:type="paragraph" w:customStyle="1" w:styleId="xl52856">
    <w:name w:val="xl52856"/>
    <w:basedOn w:val="Normal"/>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7">
    <w:name w:val="xl52857"/>
    <w:basedOn w:val="Normal"/>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8">
    <w:name w:val="xl52858"/>
    <w:basedOn w:val="Normal"/>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9">
    <w:name w:val="xl52859"/>
    <w:basedOn w:val="Normal"/>
    <w:rsid w:val="004F40E8"/>
    <w:pP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860">
    <w:name w:val="xl52860"/>
    <w:basedOn w:val="Normal"/>
    <w:rsid w:val="004F40E8"/>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1">
    <w:name w:val="xl52861"/>
    <w:basedOn w:val="Normal"/>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2">
    <w:name w:val="xl52862"/>
    <w:basedOn w:val="Normal"/>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3">
    <w:name w:val="xl52863"/>
    <w:basedOn w:val="Normal"/>
    <w:rsid w:val="004F40E8"/>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4">
    <w:name w:val="xl52864"/>
    <w:basedOn w:val="Normal"/>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5">
    <w:name w:val="xl52865"/>
    <w:basedOn w:val="Normal"/>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6">
    <w:name w:val="xl52866"/>
    <w:basedOn w:val="Normal"/>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7">
    <w:name w:val="xl52867"/>
    <w:basedOn w:val="Normal"/>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8">
    <w:name w:val="xl52868"/>
    <w:basedOn w:val="Normal"/>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9">
    <w:name w:val="xl52869"/>
    <w:basedOn w:val="Normal"/>
    <w:rsid w:val="004F40E8"/>
    <w:pPr>
      <w:shd w:val="clear" w:color="000000" w:fill="A5A5A5"/>
      <w:spacing w:before="100" w:beforeAutospacing="1" w:after="100" w:afterAutospacing="1"/>
      <w:textAlignment w:val="center"/>
    </w:pPr>
    <w:rPr>
      <w:rFonts w:ascii="Segoe UI" w:hAnsi="Segoe UI" w:cs="Segoe UI"/>
      <w:color w:val="C00000"/>
      <w:sz w:val="16"/>
      <w:szCs w:val="16"/>
    </w:rPr>
  </w:style>
  <w:style w:type="paragraph" w:customStyle="1" w:styleId="xl52870">
    <w:name w:val="xl52870"/>
    <w:basedOn w:val="Normal"/>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71">
    <w:name w:val="xl52871"/>
    <w:basedOn w:val="Normal"/>
    <w:rsid w:val="004F40E8"/>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72">
    <w:name w:val="xl52872"/>
    <w:basedOn w:val="Normal"/>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3">
    <w:name w:val="xl52873"/>
    <w:basedOn w:val="Normal"/>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4">
    <w:name w:val="xl52874"/>
    <w:basedOn w:val="Normal"/>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5">
    <w:name w:val="xl52875"/>
    <w:basedOn w:val="Normal"/>
    <w:rsid w:val="004F40E8"/>
    <w:pPr>
      <w:pBdr>
        <w:left w:val="single" w:sz="8" w:space="0" w:color="auto"/>
      </w:pBd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76">
    <w:name w:val="xl52876"/>
    <w:basedOn w:val="Normal"/>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7">
    <w:name w:val="xl52877"/>
    <w:basedOn w:val="Normal"/>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8">
    <w:name w:val="xl52878"/>
    <w:basedOn w:val="Normal"/>
    <w:rsid w:val="004F40E8"/>
    <w:pPr>
      <w:pBdr>
        <w:left w:val="single" w:sz="8"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52879">
    <w:name w:val="xl52879"/>
    <w:basedOn w:val="Normal"/>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80">
    <w:name w:val="xl52880"/>
    <w:basedOn w:val="Normal"/>
    <w:rsid w:val="004F40E8"/>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81">
    <w:name w:val="xl52881"/>
    <w:basedOn w:val="Normal"/>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i/>
      <w:iCs/>
      <w:sz w:val="16"/>
      <w:szCs w:val="16"/>
    </w:rPr>
  </w:style>
  <w:style w:type="paragraph" w:customStyle="1" w:styleId="xl52882">
    <w:name w:val="xl52882"/>
    <w:basedOn w:val="Normal"/>
    <w:rsid w:val="004F40E8"/>
    <w:pPr>
      <w:pBdr>
        <w:left w:val="single" w:sz="8" w:space="0" w:color="auto"/>
      </w:pBdr>
      <w:spacing w:before="100" w:beforeAutospacing="1" w:after="100" w:afterAutospacing="1"/>
    </w:pPr>
    <w:rPr>
      <w:rFonts w:ascii="Segoe UI" w:hAnsi="Segoe UI" w:cs="Segoe UI"/>
      <w:sz w:val="16"/>
      <w:szCs w:val="16"/>
    </w:rPr>
  </w:style>
  <w:style w:type="paragraph" w:customStyle="1" w:styleId="xl52883">
    <w:name w:val="xl52883"/>
    <w:basedOn w:val="Normal"/>
    <w:rsid w:val="004F40E8"/>
    <w:pPr>
      <w:pBdr>
        <w:left w:val="single" w:sz="8" w:space="0" w:color="auto"/>
      </w:pBdr>
      <w:spacing w:before="100" w:beforeAutospacing="1" w:after="100" w:afterAutospacing="1"/>
    </w:pPr>
    <w:rPr>
      <w:rFonts w:ascii="Segoe UI" w:hAnsi="Segoe UI" w:cs="Segoe UI"/>
      <w:b/>
      <w:bCs/>
      <w:sz w:val="16"/>
      <w:szCs w:val="16"/>
    </w:rPr>
  </w:style>
  <w:style w:type="paragraph" w:customStyle="1" w:styleId="xl52884">
    <w:name w:val="xl52884"/>
    <w:basedOn w:val="Normal"/>
    <w:rsid w:val="004F40E8"/>
    <w:pPr>
      <w:pBdr>
        <w:left w:val="single" w:sz="8" w:space="0" w:color="auto"/>
      </w:pBdr>
      <w:spacing w:before="100" w:beforeAutospacing="1" w:after="100" w:afterAutospacing="1"/>
    </w:pPr>
    <w:rPr>
      <w:rFonts w:ascii="Segoe UI" w:hAnsi="Segoe UI" w:cs="Segoe UI"/>
      <w:sz w:val="16"/>
      <w:szCs w:val="16"/>
    </w:rPr>
  </w:style>
  <w:style w:type="paragraph" w:customStyle="1" w:styleId="xl52885">
    <w:name w:val="xl52885"/>
    <w:basedOn w:val="Normal"/>
    <w:rsid w:val="004F40E8"/>
    <w:pPr>
      <w:pBdr>
        <w:left w:val="single" w:sz="8" w:space="0" w:color="auto"/>
      </w:pBdr>
      <w:shd w:val="clear" w:color="000000" w:fill="FFFFFF"/>
      <w:spacing w:before="100" w:beforeAutospacing="1" w:after="100" w:afterAutospacing="1"/>
    </w:pPr>
    <w:rPr>
      <w:rFonts w:ascii="Segoe UI" w:hAnsi="Segoe UI" w:cs="Segoe UI"/>
      <w:b/>
      <w:bCs/>
      <w:i/>
      <w:iCs/>
      <w:sz w:val="16"/>
      <w:szCs w:val="16"/>
    </w:rPr>
  </w:style>
  <w:style w:type="paragraph" w:customStyle="1" w:styleId="xl52886">
    <w:name w:val="xl52886"/>
    <w:basedOn w:val="Normal"/>
    <w:rsid w:val="004F40E8"/>
    <w:pPr>
      <w:pBdr>
        <w:left w:val="single" w:sz="8" w:space="0" w:color="auto"/>
      </w:pBdr>
      <w:shd w:val="clear" w:color="000000" w:fill="FFFFFF"/>
      <w:spacing w:before="100" w:beforeAutospacing="1" w:after="100" w:afterAutospacing="1"/>
    </w:pPr>
    <w:rPr>
      <w:rFonts w:ascii="Segoe UI" w:hAnsi="Segoe UI" w:cs="Segoe UI"/>
      <w:b/>
      <w:bCs/>
      <w:sz w:val="16"/>
      <w:szCs w:val="16"/>
    </w:rPr>
  </w:style>
  <w:style w:type="paragraph" w:customStyle="1" w:styleId="xl52887">
    <w:name w:val="xl52887"/>
    <w:basedOn w:val="Normal"/>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88">
    <w:name w:val="xl52888"/>
    <w:basedOn w:val="Normal"/>
    <w:rsid w:val="004F40E8"/>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89">
    <w:name w:val="xl52889"/>
    <w:basedOn w:val="Normal"/>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0">
    <w:name w:val="xl52890"/>
    <w:basedOn w:val="Normal"/>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1">
    <w:name w:val="xl52891"/>
    <w:basedOn w:val="Normal"/>
    <w:rsid w:val="004F40E8"/>
    <w:pPr>
      <w:pBdr>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92">
    <w:name w:val="xl52892"/>
    <w:basedOn w:val="Normal"/>
    <w:rsid w:val="004F40E8"/>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93">
    <w:name w:val="xl52893"/>
    <w:basedOn w:val="Normal"/>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4">
    <w:name w:val="xl52894"/>
    <w:basedOn w:val="Normal"/>
    <w:rsid w:val="004F40E8"/>
    <w:pPr>
      <w:pBdr>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95">
    <w:name w:val="xl52895"/>
    <w:basedOn w:val="Normal"/>
    <w:rsid w:val="004F40E8"/>
    <w:pPr>
      <w:pBdr>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96">
    <w:name w:val="xl52896"/>
    <w:basedOn w:val="Normal"/>
    <w:rsid w:val="004F40E8"/>
    <w:pPr>
      <w:pBdr>
        <w:right w:val="single" w:sz="4" w:space="0" w:color="auto"/>
      </w:pBdr>
      <w:spacing w:before="100" w:beforeAutospacing="1" w:after="100" w:afterAutospacing="1"/>
      <w:jc w:val="center"/>
    </w:pPr>
    <w:rPr>
      <w:rFonts w:ascii="Segoe UI" w:hAnsi="Segoe UI" w:cs="Segoe UI"/>
      <w:sz w:val="16"/>
      <w:szCs w:val="16"/>
    </w:rPr>
  </w:style>
  <w:style w:type="paragraph" w:customStyle="1" w:styleId="xl52897">
    <w:name w:val="xl52897"/>
    <w:basedOn w:val="Normal"/>
    <w:rsid w:val="004F40E8"/>
    <w:pPr>
      <w:pBdr>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98">
    <w:name w:val="xl52898"/>
    <w:basedOn w:val="Normal"/>
    <w:rsid w:val="004F40E8"/>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99">
    <w:name w:val="xl52899"/>
    <w:basedOn w:val="Normal"/>
    <w:rsid w:val="004F40E8"/>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0">
    <w:name w:val="xl52900"/>
    <w:basedOn w:val="Normal"/>
    <w:rsid w:val="004F40E8"/>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1">
    <w:name w:val="xl52901"/>
    <w:basedOn w:val="Normal"/>
    <w:rsid w:val="004F40E8"/>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02">
    <w:name w:val="xl52902"/>
    <w:basedOn w:val="Normal"/>
    <w:rsid w:val="004F40E8"/>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3">
    <w:name w:val="xl52903"/>
    <w:basedOn w:val="Normal"/>
    <w:rsid w:val="004F40E8"/>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4">
    <w:name w:val="xl52904"/>
    <w:basedOn w:val="Normal"/>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5">
    <w:name w:val="xl52905"/>
    <w:basedOn w:val="Normal"/>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6">
    <w:name w:val="xl52906"/>
    <w:basedOn w:val="Normal"/>
    <w:rsid w:val="004F40E8"/>
    <w:pPr>
      <w:pBdr>
        <w:lef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07">
    <w:name w:val="xl52907"/>
    <w:basedOn w:val="Normal"/>
    <w:rsid w:val="004F40E8"/>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8">
    <w:name w:val="xl52908"/>
    <w:basedOn w:val="Normal"/>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9">
    <w:name w:val="xl52909"/>
    <w:basedOn w:val="Normal"/>
    <w:rsid w:val="004F40E8"/>
    <w:pPr>
      <w:pBdr>
        <w:lef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10">
    <w:name w:val="xl52910"/>
    <w:basedOn w:val="Normal"/>
    <w:rsid w:val="004F40E8"/>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1">
    <w:name w:val="xl52911"/>
    <w:basedOn w:val="Normal"/>
    <w:rsid w:val="004F40E8"/>
    <w:pPr>
      <w:pBdr>
        <w:left w:val="single" w:sz="8" w:space="0" w:color="auto"/>
      </w:pBdr>
      <w:spacing w:before="100" w:beforeAutospacing="1" w:after="100" w:afterAutospacing="1"/>
      <w:jc w:val="center"/>
    </w:pPr>
    <w:rPr>
      <w:rFonts w:ascii="Segoe UI" w:hAnsi="Segoe UI" w:cs="Segoe UI"/>
      <w:sz w:val="16"/>
      <w:szCs w:val="16"/>
    </w:rPr>
  </w:style>
  <w:style w:type="paragraph" w:customStyle="1" w:styleId="xl52912">
    <w:name w:val="xl52912"/>
    <w:basedOn w:val="Normal"/>
    <w:rsid w:val="004F40E8"/>
    <w:pPr>
      <w:pBdr>
        <w:lef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13">
    <w:name w:val="xl52913"/>
    <w:basedOn w:val="Normal"/>
    <w:rsid w:val="004F40E8"/>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4">
    <w:name w:val="xl52914"/>
    <w:basedOn w:val="Normal"/>
    <w:rsid w:val="004F40E8"/>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5">
    <w:name w:val="xl52915"/>
    <w:basedOn w:val="Normal"/>
    <w:rsid w:val="004F40E8"/>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6">
    <w:name w:val="xl52916"/>
    <w:basedOn w:val="Normal"/>
    <w:rsid w:val="004F40E8"/>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7">
    <w:name w:val="xl52917"/>
    <w:basedOn w:val="Normal"/>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8">
    <w:name w:val="xl52918"/>
    <w:basedOn w:val="Normal"/>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19">
    <w:name w:val="xl52919"/>
    <w:basedOn w:val="Normal"/>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0">
    <w:name w:val="xl52920"/>
    <w:basedOn w:val="Normal"/>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21">
    <w:name w:val="xl52921"/>
    <w:basedOn w:val="Normal"/>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22">
    <w:name w:val="xl52922"/>
    <w:basedOn w:val="Normal"/>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3">
    <w:name w:val="xl52923"/>
    <w:basedOn w:val="Normal"/>
    <w:rsid w:val="004F40E8"/>
    <w:pPr>
      <w:pBdr>
        <w:left w:val="single" w:sz="8"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24">
    <w:name w:val="xl52924"/>
    <w:basedOn w:val="Normal"/>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5">
    <w:name w:val="xl52925"/>
    <w:basedOn w:val="Normal"/>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6">
    <w:name w:val="xl52926"/>
    <w:basedOn w:val="Normal"/>
    <w:rsid w:val="004F40E8"/>
    <w:pPr>
      <w:pBdr>
        <w:left w:val="single" w:sz="8"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927">
    <w:name w:val="xl52927"/>
    <w:basedOn w:val="Normal"/>
    <w:rsid w:val="004F40E8"/>
    <w:pPr>
      <w:pBdr>
        <w:left w:val="single" w:sz="8"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28">
    <w:name w:val="xl52928"/>
    <w:basedOn w:val="Normal"/>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29">
    <w:name w:val="xl52929"/>
    <w:basedOn w:val="Normal"/>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0">
    <w:name w:val="xl52930"/>
    <w:basedOn w:val="Normal"/>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1">
    <w:name w:val="xl52931"/>
    <w:basedOn w:val="Normal"/>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2">
    <w:name w:val="xl52932"/>
    <w:basedOn w:val="Normal"/>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33">
    <w:name w:val="xl52933"/>
    <w:basedOn w:val="Normal"/>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4">
    <w:name w:val="xl52934"/>
    <w:basedOn w:val="Normal"/>
    <w:rsid w:val="004F40E8"/>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5">
    <w:name w:val="xl52935"/>
    <w:basedOn w:val="Normal"/>
    <w:rsid w:val="004F40E8"/>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6">
    <w:name w:val="xl52936"/>
    <w:basedOn w:val="Normal"/>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7">
    <w:name w:val="xl52937"/>
    <w:basedOn w:val="Normal"/>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8">
    <w:name w:val="xl52938"/>
    <w:basedOn w:val="Normal"/>
    <w:rsid w:val="004F40E8"/>
    <w:pPr>
      <w:pBdr>
        <w:lef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39">
    <w:name w:val="xl52939"/>
    <w:basedOn w:val="Normal"/>
    <w:rsid w:val="004F40E8"/>
    <w:pPr>
      <w:pBdr>
        <w:lef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40">
    <w:name w:val="xl52940"/>
    <w:basedOn w:val="Normal"/>
    <w:rsid w:val="004F40E8"/>
    <w:pPr>
      <w:pBdr>
        <w:lef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41">
    <w:name w:val="xl52941"/>
    <w:basedOn w:val="Normal"/>
    <w:rsid w:val="004F40E8"/>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2">
    <w:name w:val="xl52942"/>
    <w:basedOn w:val="Normal"/>
    <w:rsid w:val="004F40E8"/>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3">
    <w:name w:val="xl52943"/>
    <w:basedOn w:val="Normal"/>
    <w:rsid w:val="004F40E8"/>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4">
    <w:name w:val="xl52944"/>
    <w:basedOn w:val="Normal"/>
    <w:rsid w:val="004F40E8"/>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5">
    <w:name w:val="xl52945"/>
    <w:basedOn w:val="Normal"/>
    <w:rsid w:val="004F40E8"/>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6">
    <w:name w:val="xl52946"/>
    <w:basedOn w:val="Normal"/>
    <w:rsid w:val="004F40E8"/>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7">
    <w:name w:val="xl52947"/>
    <w:basedOn w:val="Normal"/>
    <w:rsid w:val="004F40E8"/>
    <w:pPr>
      <w:spacing w:before="100" w:beforeAutospacing="1" w:after="100" w:afterAutospacing="1"/>
      <w:jc w:val="center"/>
      <w:textAlignment w:val="center"/>
    </w:pPr>
    <w:rPr>
      <w:rFonts w:ascii="Segoe UI" w:hAnsi="Segoe UI" w:cs="Segoe UI"/>
      <w:sz w:val="16"/>
      <w:szCs w:val="16"/>
    </w:rPr>
  </w:style>
  <w:style w:type="paragraph" w:customStyle="1" w:styleId="xl52948">
    <w:name w:val="xl52948"/>
    <w:basedOn w:val="Normal"/>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49">
    <w:name w:val="xl52949"/>
    <w:basedOn w:val="Normal"/>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0">
    <w:name w:val="xl52950"/>
    <w:basedOn w:val="Normal"/>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1">
    <w:name w:val="xl52951"/>
    <w:basedOn w:val="Normal"/>
    <w:rsid w:val="004F40E8"/>
    <w:pPr>
      <w:pBdr>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52">
    <w:name w:val="xl52952"/>
    <w:basedOn w:val="Normal"/>
    <w:rsid w:val="004F40E8"/>
    <w:pPr>
      <w:pBdr>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53">
    <w:name w:val="xl52953"/>
    <w:basedOn w:val="Normal"/>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4">
    <w:name w:val="xl52954"/>
    <w:basedOn w:val="Normal"/>
    <w:rsid w:val="004F40E8"/>
    <w:pPr>
      <w:spacing w:before="100" w:beforeAutospacing="1" w:after="100" w:afterAutospacing="1"/>
      <w:jc w:val="center"/>
      <w:textAlignment w:val="center"/>
    </w:pPr>
    <w:rPr>
      <w:rFonts w:ascii="Segoe UI" w:hAnsi="Segoe UI" w:cs="Segoe UI"/>
      <w:b/>
      <w:bCs/>
      <w:sz w:val="16"/>
      <w:szCs w:val="16"/>
    </w:rPr>
  </w:style>
  <w:style w:type="paragraph" w:customStyle="1" w:styleId="xl52955">
    <w:name w:val="xl52955"/>
    <w:basedOn w:val="Normal"/>
    <w:rsid w:val="004F40E8"/>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56">
    <w:name w:val="xl52956"/>
    <w:basedOn w:val="Normal"/>
    <w:rsid w:val="004F40E8"/>
    <w:pPr>
      <w:pBdr>
        <w:right w:val="single" w:sz="8" w:space="0" w:color="auto"/>
      </w:pBdr>
      <w:spacing w:before="100" w:beforeAutospacing="1" w:after="100" w:afterAutospacing="1"/>
      <w:jc w:val="center"/>
    </w:pPr>
    <w:rPr>
      <w:rFonts w:ascii="Segoe UI" w:hAnsi="Segoe UI" w:cs="Segoe UI"/>
      <w:sz w:val="16"/>
      <w:szCs w:val="16"/>
    </w:rPr>
  </w:style>
  <w:style w:type="paragraph" w:customStyle="1" w:styleId="xl52957">
    <w:name w:val="xl52957"/>
    <w:basedOn w:val="Normal"/>
    <w:rsid w:val="004F40E8"/>
    <w:pPr>
      <w:spacing w:before="100" w:beforeAutospacing="1" w:after="100" w:afterAutospacing="1"/>
      <w:jc w:val="center"/>
    </w:pPr>
    <w:rPr>
      <w:rFonts w:ascii="Segoe UI" w:hAnsi="Segoe UI" w:cs="Segoe UI"/>
      <w:sz w:val="16"/>
      <w:szCs w:val="16"/>
    </w:rPr>
  </w:style>
  <w:style w:type="paragraph" w:customStyle="1" w:styleId="xl52958">
    <w:name w:val="xl52958"/>
    <w:basedOn w:val="Normal"/>
    <w:rsid w:val="004F40E8"/>
    <w:pPr>
      <w:pBdr>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59">
    <w:name w:val="xl52959"/>
    <w:basedOn w:val="Normal"/>
    <w:rsid w:val="004F40E8"/>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0">
    <w:name w:val="xl52960"/>
    <w:basedOn w:val="Normal"/>
    <w:rsid w:val="004F40E8"/>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1">
    <w:name w:val="xl52961"/>
    <w:basedOn w:val="Normal"/>
    <w:rsid w:val="004F40E8"/>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2">
    <w:name w:val="xl52962"/>
    <w:basedOn w:val="Normal"/>
    <w:rsid w:val="004F40E8"/>
    <w:pPr>
      <w:pBdr>
        <w:top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63">
    <w:name w:val="xl52963"/>
    <w:basedOn w:val="Normal"/>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4">
    <w:name w:val="xl52964"/>
    <w:basedOn w:val="Normal"/>
    <w:rsid w:val="004F40E8"/>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5">
    <w:name w:val="xl52965"/>
    <w:basedOn w:val="Normal"/>
    <w:rsid w:val="004F40E8"/>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6">
    <w:name w:val="xl52966"/>
    <w:basedOn w:val="Normal"/>
    <w:rsid w:val="004F40E8"/>
    <w:pPr>
      <w:spacing w:before="100" w:beforeAutospacing="1" w:after="100" w:afterAutospacing="1"/>
      <w:jc w:val="center"/>
      <w:textAlignment w:val="center"/>
    </w:pPr>
    <w:rPr>
      <w:rFonts w:ascii="Segoe UI" w:hAnsi="Segoe UI" w:cs="Segoe UI"/>
      <w:sz w:val="16"/>
      <w:szCs w:val="16"/>
    </w:rPr>
  </w:style>
  <w:style w:type="paragraph" w:customStyle="1" w:styleId="xl52967">
    <w:name w:val="xl52967"/>
    <w:basedOn w:val="Normal"/>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8">
    <w:name w:val="xl52968"/>
    <w:basedOn w:val="Normal"/>
    <w:rsid w:val="004F40E8"/>
    <w:pP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69">
    <w:name w:val="xl52969"/>
    <w:basedOn w:val="Normal"/>
    <w:rsid w:val="004F40E8"/>
    <w:pPr>
      <w:spacing w:before="100" w:beforeAutospacing="1" w:after="100" w:afterAutospacing="1"/>
      <w:jc w:val="center"/>
    </w:pPr>
    <w:rPr>
      <w:rFonts w:ascii="Segoe UI" w:hAnsi="Segoe UI" w:cs="Segoe UI"/>
      <w:b/>
      <w:bCs/>
      <w:sz w:val="16"/>
      <w:szCs w:val="16"/>
    </w:rPr>
  </w:style>
  <w:style w:type="paragraph" w:customStyle="1" w:styleId="xl52970">
    <w:name w:val="xl52970"/>
    <w:basedOn w:val="Normal"/>
    <w:rsid w:val="004F40E8"/>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1">
    <w:name w:val="xl52971"/>
    <w:basedOn w:val="Normal"/>
    <w:rsid w:val="004F40E8"/>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72">
    <w:name w:val="xl52972"/>
    <w:basedOn w:val="Normal"/>
    <w:rsid w:val="004F40E8"/>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3">
    <w:name w:val="xl52973"/>
    <w:basedOn w:val="Normal"/>
    <w:rsid w:val="004F40E8"/>
    <w:pPr>
      <w:pBdr>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74">
    <w:name w:val="xl52974"/>
    <w:basedOn w:val="Normal"/>
    <w:rsid w:val="004F40E8"/>
    <w:pPr>
      <w:spacing w:before="100" w:beforeAutospacing="1" w:after="100" w:afterAutospacing="1"/>
      <w:jc w:val="center"/>
      <w:textAlignment w:val="center"/>
    </w:pPr>
    <w:rPr>
      <w:rFonts w:ascii="Segoe UI" w:hAnsi="Segoe UI" w:cs="Segoe UI"/>
      <w:color w:val="FFFFFF"/>
      <w:sz w:val="16"/>
      <w:szCs w:val="16"/>
    </w:rPr>
  </w:style>
  <w:style w:type="paragraph" w:customStyle="1" w:styleId="xl52975">
    <w:name w:val="xl52975"/>
    <w:basedOn w:val="Normal"/>
    <w:rsid w:val="004F40E8"/>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6">
    <w:name w:val="xl52976"/>
    <w:basedOn w:val="Normal"/>
    <w:rsid w:val="004F40E8"/>
    <w:pPr>
      <w:pBdr>
        <w:top w:val="single" w:sz="8" w:space="0" w:color="auto"/>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7">
    <w:name w:val="xl52977"/>
    <w:basedOn w:val="Normal"/>
    <w:rsid w:val="004F40E8"/>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8">
    <w:name w:val="xl52978"/>
    <w:basedOn w:val="Normal"/>
    <w:rsid w:val="004F40E8"/>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79">
    <w:name w:val="xl52979"/>
    <w:basedOn w:val="Normal"/>
    <w:rsid w:val="004F40E8"/>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0">
    <w:name w:val="xl52980"/>
    <w:basedOn w:val="Normal"/>
    <w:rsid w:val="004F40E8"/>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1">
    <w:name w:val="xl52981"/>
    <w:basedOn w:val="Normal"/>
    <w:rsid w:val="004F40E8"/>
    <w:pPr>
      <w:pBdr>
        <w:top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82">
    <w:name w:val="xl52982"/>
    <w:basedOn w:val="Normal"/>
    <w:rsid w:val="004F40E8"/>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3">
    <w:name w:val="xl52983"/>
    <w:basedOn w:val="Normal"/>
    <w:rsid w:val="004F40E8"/>
    <w:pPr>
      <w:pBdr>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84">
    <w:name w:val="xl52984"/>
    <w:basedOn w:val="Normal"/>
    <w:rsid w:val="004F40E8"/>
    <w:pPr>
      <w:pBdr>
        <w:left w:val="single" w:sz="8" w:space="0" w:color="auto"/>
      </w:pBdr>
      <w:shd w:val="clear" w:color="000000" w:fill="A5A5A5"/>
      <w:spacing w:before="100" w:beforeAutospacing="1" w:after="100" w:afterAutospacing="1"/>
    </w:pPr>
    <w:rPr>
      <w:rFonts w:ascii="Segoe UI" w:hAnsi="Segoe UI" w:cs="Segoe UI"/>
      <w:b/>
      <w:bCs/>
      <w:sz w:val="16"/>
      <w:szCs w:val="16"/>
    </w:rPr>
  </w:style>
  <w:style w:type="paragraph" w:customStyle="1" w:styleId="xl52985">
    <w:name w:val="xl52985"/>
    <w:basedOn w:val="Normal"/>
    <w:rsid w:val="004F40E8"/>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6">
    <w:name w:val="xl52986"/>
    <w:basedOn w:val="Normal"/>
    <w:rsid w:val="004F40E8"/>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7">
    <w:name w:val="xl52987"/>
    <w:basedOn w:val="Normal"/>
    <w:rsid w:val="004F40E8"/>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8">
    <w:name w:val="xl52988"/>
    <w:basedOn w:val="Normal"/>
    <w:rsid w:val="004F40E8"/>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9">
    <w:name w:val="xl52989"/>
    <w:basedOn w:val="Normal"/>
    <w:rsid w:val="004F40E8"/>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0">
    <w:name w:val="xl52990"/>
    <w:basedOn w:val="Normal"/>
    <w:rsid w:val="004F40E8"/>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1">
    <w:name w:val="xl52991"/>
    <w:basedOn w:val="Normal"/>
    <w:rsid w:val="004F40E8"/>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2">
    <w:name w:val="xl52992"/>
    <w:basedOn w:val="Normal"/>
    <w:rsid w:val="004F40E8"/>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3">
    <w:name w:val="xl52993"/>
    <w:basedOn w:val="Normal"/>
    <w:rsid w:val="004F40E8"/>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4">
    <w:name w:val="xl52994"/>
    <w:basedOn w:val="Normal"/>
    <w:rsid w:val="004F40E8"/>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5">
    <w:name w:val="xl52995"/>
    <w:basedOn w:val="Normal"/>
    <w:rsid w:val="004F40E8"/>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6">
    <w:name w:val="xl52996"/>
    <w:basedOn w:val="Normal"/>
    <w:rsid w:val="004F40E8"/>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7">
    <w:name w:val="xl52997"/>
    <w:basedOn w:val="Normal"/>
    <w:rsid w:val="004F40E8"/>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8">
    <w:name w:val="xl52998"/>
    <w:basedOn w:val="Normal"/>
    <w:rsid w:val="004F40E8"/>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9">
    <w:name w:val="xl52999"/>
    <w:basedOn w:val="Normal"/>
    <w:rsid w:val="004F40E8"/>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0">
    <w:name w:val="xl53000"/>
    <w:basedOn w:val="Normal"/>
    <w:rsid w:val="004F40E8"/>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1">
    <w:name w:val="xl53001"/>
    <w:basedOn w:val="Normal"/>
    <w:rsid w:val="004F40E8"/>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2">
    <w:name w:val="xl53002"/>
    <w:basedOn w:val="Normal"/>
    <w:rsid w:val="004F40E8"/>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3">
    <w:name w:val="xl53003"/>
    <w:basedOn w:val="Normal"/>
    <w:rsid w:val="004F40E8"/>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4">
    <w:name w:val="xl53004"/>
    <w:basedOn w:val="Normal"/>
    <w:rsid w:val="004F40E8"/>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5">
    <w:name w:val="xl53005"/>
    <w:basedOn w:val="Normal"/>
    <w:rsid w:val="004F40E8"/>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6">
    <w:name w:val="xl53006"/>
    <w:basedOn w:val="Normal"/>
    <w:rsid w:val="004F40E8"/>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7">
    <w:name w:val="xl53007"/>
    <w:basedOn w:val="Normal"/>
    <w:rsid w:val="004F40E8"/>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8">
    <w:name w:val="xl53008"/>
    <w:basedOn w:val="Normal"/>
    <w:rsid w:val="004F40E8"/>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9">
    <w:name w:val="xl53009"/>
    <w:basedOn w:val="Normal"/>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0">
    <w:name w:val="xl53010"/>
    <w:basedOn w:val="Normal"/>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1">
    <w:name w:val="xl53011"/>
    <w:basedOn w:val="Normal"/>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2">
    <w:name w:val="xl53012"/>
    <w:basedOn w:val="Normal"/>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3">
    <w:name w:val="xl53013"/>
    <w:basedOn w:val="Normal"/>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4">
    <w:name w:val="xl53014"/>
    <w:basedOn w:val="Normal"/>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5">
    <w:name w:val="xl53015"/>
    <w:basedOn w:val="Normal"/>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6">
    <w:name w:val="xl53016"/>
    <w:basedOn w:val="Normal"/>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7">
    <w:name w:val="xl53017"/>
    <w:basedOn w:val="Normal"/>
    <w:rsid w:val="004F40E8"/>
    <w:pPr>
      <w:pBdr>
        <w:left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18">
    <w:name w:val="xl53018"/>
    <w:basedOn w:val="Normal"/>
    <w:rsid w:val="004F40E8"/>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9">
    <w:name w:val="xl53019"/>
    <w:basedOn w:val="Normal"/>
    <w:rsid w:val="004F40E8"/>
    <w:pPr>
      <w:pBdr>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0">
    <w:name w:val="xl53020"/>
    <w:basedOn w:val="Normal"/>
    <w:rsid w:val="004F40E8"/>
    <w:pPr>
      <w:pBdr>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1">
    <w:name w:val="xl53021"/>
    <w:basedOn w:val="Normal"/>
    <w:rsid w:val="004F40E8"/>
    <w:pPr>
      <w:pBdr>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2">
    <w:name w:val="xl53022"/>
    <w:basedOn w:val="Normal"/>
    <w:rsid w:val="004F40E8"/>
    <w:pPr>
      <w:pBdr>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3">
    <w:name w:val="xl53023"/>
    <w:basedOn w:val="Normal"/>
    <w:rsid w:val="004F40E8"/>
    <w:pPr>
      <w:pBdr>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4">
    <w:name w:val="xl53024"/>
    <w:basedOn w:val="Normal"/>
    <w:rsid w:val="004F40E8"/>
    <w:pPr>
      <w:pBdr>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5">
    <w:name w:val="xl53025"/>
    <w:basedOn w:val="Normal"/>
    <w:rsid w:val="004F40E8"/>
    <w:pPr>
      <w:pBdr>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6">
    <w:name w:val="xl53026"/>
    <w:basedOn w:val="Normal"/>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27">
    <w:name w:val="xl53027"/>
    <w:basedOn w:val="Normal"/>
    <w:rsid w:val="004F40E8"/>
    <w:pPr>
      <w:pBdr>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53028">
    <w:name w:val="xl53028"/>
    <w:basedOn w:val="Normal"/>
    <w:rsid w:val="004F40E8"/>
    <w:pPr>
      <w:pBdr>
        <w:left w:val="single" w:sz="8" w:space="0" w:color="auto"/>
      </w:pBdr>
      <w:spacing w:before="100" w:beforeAutospacing="1" w:after="100" w:afterAutospacing="1"/>
      <w:textAlignment w:val="center"/>
    </w:pPr>
    <w:rPr>
      <w:rFonts w:ascii="Segoe UI" w:hAnsi="Segoe UI" w:cs="Segoe UI"/>
      <w:color w:val="FFFFFF"/>
      <w:sz w:val="16"/>
      <w:szCs w:val="16"/>
    </w:rPr>
  </w:style>
  <w:style w:type="paragraph" w:customStyle="1" w:styleId="xl53029">
    <w:name w:val="xl53029"/>
    <w:basedOn w:val="Normal"/>
    <w:rsid w:val="004F40E8"/>
    <w:pPr>
      <w:pBdr>
        <w:lef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3030">
    <w:name w:val="xl53030"/>
    <w:basedOn w:val="Normal"/>
    <w:rsid w:val="004F40E8"/>
    <w:pPr>
      <w:spacing w:before="100" w:beforeAutospacing="1" w:after="100" w:afterAutospacing="1"/>
      <w:textAlignment w:val="center"/>
    </w:pPr>
    <w:rPr>
      <w:rFonts w:ascii="Segoe UI" w:hAnsi="Segoe UI" w:cs="Segoe UI"/>
      <w:color w:val="FFFFFF"/>
      <w:sz w:val="16"/>
      <w:szCs w:val="16"/>
    </w:rPr>
  </w:style>
  <w:style w:type="paragraph" w:customStyle="1" w:styleId="xl53031">
    <w:name w:val="xl53031"/>
    <w:basedOn w:val="Normal"/>
    <w:rsid w:val="004F40E8"/>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2">
    <w:name w:val="xl53032"/>
    <w:basedOn w:val="Normal"/>
    <w:rsid w:val="004F40E8"/>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3">
    <w:name w:val="xl53033"/>
    <w:basedOn w:val="Normal"/>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0000"/>
      <w:sz w:val="16"/>
      <w:szCs w:val="16"/>
    </w:rPr>
  </w:style>
  <w:style w:type="paragraph" w:customStyle="1" w:styleId="xl53034">
    <w:name w:val="xl53034"/>
    <w:basedOn w:val="Normal"/>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color w:val="FF0000"/>
      <w:sz w:val="16"/>
      <w:szCs w:val="16"/>
    </w:rPr>
  </w:style>
  <w:style w:type="paragraph" w:customStyle="1" w:styleId="xl53035">
    <w:name w:val="xl53035"/>
    <w:basedOn w:val="Normal"/>
    <w:rsid w:val="004F40E8"/>
    <w:pPr>
      <w:pBdr>
        <w:top w:val="single" w:sz="8" w:space="0" w:color="auto"/>
      </w:pBd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6">
    <w:name w:val="xl53036"/>
    <w:basedOn w:val="Normal"/>
    <w:rsid w:val="004F40E8"/>
    <w:pP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7">
    <w:name w:val="xl53037"/>
    <w:basedOn w:val="Normal"/>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3038">
    <w:name w:val="xl53038"/>
    <w:basedOn w:val="Normal"/>
    <w:rsid w:val="004F40E8"/>
    <w:pPr>
      <w:pBdr>
        <w:top w:val="single" w:sz="8" w:space="0" w:color="auto"/>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39">
    <w:name w:val="xl53039"/>
    <w:basedOn w:val="Normal"/>
    <w:rsid w:val="004F40E8"/>
    <w:pPr>
      <w:pBdr>
        <w:top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0">
    <w:name w:val="xl53040"/>
    <w:basedOn w:val="Normal"/>
    <w:rsid w:val="004F40E8"/>
    <w:pPr>
      <w:pBdr>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1">
    <w:name w:val="xl53041"/>
    <w:basedOn w:val="Normal"/>
    <w:rsid w:val="004F40E8"/>
    <w:pP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2">
    <w:name w:val="xl53042"/>
    <w:basedOn w:val="Normal"/>
    <w:rsid w:val="004F40E8"/>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3">
    <w:name w:val="xl53043"/>
    <w:basedOn w:val="Normal"/>
    <w:rsid w:val="004F40E8"/>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4">
    <w:name w:val="xl53044"/>
    <w:basedOn w:val="Normal"/>
    <w:rsid w:val="004F40E8"/>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5">
    <w:name w:val="xl53045"/>
    <w:basedOn w:val="Normal"/>
    <w:rsid w:val="004F40E8"/>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6">
    <w:name w:val="xl53046"/>
    <w:basedOn w:val="Normal"/>
    <w:rsid w:val="004F40E8"/>
    <w:pPr>
      <w:pBdr>
        <w:bottom w:val="single" w:sz="8" w:space="0" w:color="auto"/>
      </w:pBdr>
      <w:spacing w:before="100" w:beforeAutospacing="1" w:after="100" w:afterAutospacing="1"/>
      <w:textAlignment w:val="center"/>
    </w:pPr>
    <w:rPr>
      <w:rFonts w:ascii="Segoe UI" w:hAnsi="Segoe UI" w:cs="Segoe UI"/>
      <w:i/>
      <w:iCs/>
      <w:sz w:val="16"/>
      <w:szCs w:val="16"/>
    </w:rPr>
  </w:style>
  <w:style w:type="paragraph" w:customStyle="1" w:styleId="xl53047">
    <w:name w:val="xl53047"/>
    <w:basedOn w:val="Normal"/>
    <w:rsid w:val="004F40E8"/>
    <w:pPr>
      <w:pBdr>
        <w:bottom w:val="single" w:sz="8" w:space="0" w:color="auto"/>
      </w:pBdr>
      <w:spacing w:before="100" w:beforeAutospacing="1" w:after="100" w:afterAutospacing="1"/>
      <w:jc w:val="center"/>
      <w:textAlignment w:val="center"/>
    </w:pPr>
    <w:rPr>
      <w:rFonts w:ascii="Segoe UI" w:hAnsi="Segoe UI" w:cs="Segoe UI"/>
      <w:i/>
      <w:iCs/>
      <w:sz w:val="16"/>
      <w:szCs w:val="16"/>
    </w:rPr>
  </w:style>
  <w:style w:type="paragraph" w:customStyle="1" w:styleId="a0">
    <w:name w:val="Τ"/>
    <w:basedOn w:val="Normal"/>
    <w:rsid w:val="004F40E8"/>
    <w:pPr>
      <w:spacing w:before="120" w:after="120" w:line="360" w:lineRule="auto"/>
      <w:jc w:val="both"/>
    </w:pPr>
    <w:rPr>
      <w:rFonts w:ascii="Arial" w:hAnsi="Arial" w:cs="Arial"/>
      <w:sz w:val="22"/>
      <w:szCs w:val="22"/>
    </w:rPr>
  </w:style>
  <w:style w:type="character" w:customStyle="1" w:styleId="NoSpacingChar">
    <w:name w:val="No Spacing Char"/>
    <w:link w:val="NoSpacing"/>
    <w:uiPriority w:val="1"/>
    <w:rsid w:val="003B594D"/>
    <w:rPr>
      <w:rFonts w:ascii="Calibri" w:eastAsia="Calibri" w:hAnsi="Calibri"/>
      <w:sz w:val="22"/>
      <w:szCs w:val="22"/>
      <w:lang w:val="el-GR" w:eastAsia="en-US" w:bidi="ar-SA"/>
    </w:rPr>
  </w:style>
  <w:style w:type="paragraph" w:customStyle="1" w:styleId="Body">
    <w:name w:val="Body"/>
    <w:rsid w:val="002D7DE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character" w:styleId="Emphasis">
    <w:name w:val="Emphasis"/>
    <w:uiPriority w:val="20"/>
    <w:qFormat/>
    <w:rsid w:val="00261EA1"/>
    <w:rPr>
      <w:i/>
      <w:iCs/>
    </w:rPr>
  </w:style>
  <w:style w:type="character" w:customStyle="1" w:styleId="Heading1Char">
    <w:name w:val="Heading 1 Char"/>
    <w:link w:val="Heading1"/>
    <w:rsid w:val="00CD2D8A"/>
    <w:rPr>
      <w:rFonts w:ascii="Arial" w:hAnsi="Arial" w:cs="Arial"/>
      <w:b/>
      <w:bCs/>
      <w:kern w:val="32"/>
      <w:sz w:val="32"/>
      <w:szCs w:val="32"/>
    </w:rPr>
  </w:style>
  <w:style w:type="character" w:customStyle="1" w:styleId="Heading2Char">
    <w:name w:val="Heading 2 Char"/>
    <w:link w:val="Heading2"/>
    <w:rsid w:val="00CD2D8A"/>
    <w:rPr>
      <w:rFonts w:ascii="Arial" w:hAnsi="Arial" w:cs="Arial"/>
      <w:b/>
      <w:bCs/>
      <w:i/>
      <w:iCs/>
      <w:sz w:val="28"/>
      <w:szCs w:val="28"/>
    </w:rPr>
  </w:style>
  <w:style w:type="character" w:customStyle="1" w:styleId="Heading3Char">
    <w:name w:val="Heading 3 Char"/>
    <w:link w:val="Heading3"/>
    <w:rsid w:val="00CD2D8A"/>
    <w:rPr>
      <w:rFonts w:ascii="Arial" w:hAnsi="Arial" w:cs="Arial"/>
      <w:b/>
      <w:bCs/>
      <w:sz w:val="26"/>
      <w:szCs w:val="26"/>
    </w:rPr>
  </w:style>
  <w:style w:type="character" w:customStyle="1" w:styleId="Heading4Char">
    <w:name w:val="Heading 4 Char"/>
    <w:link w:val="Heading4"/>
    <w:rsid w:val="00CD2D8A"/>
    <w:rPr>
      <w:rFonts w:ascii="Arial Narrow" w:hAnsi="Arial Narrow"/>
      <w:b/>
      <w:color w:val="003366"/>
      <w:sz w:val="22"/>
      <w:szCs w:val="22"/>
    </w:rPr>
  </w:style>
  <w:style w:type="character" w:customStyle="1" w:styleId="Heading5Char">
    <w:name w:val="Heading 5 Char"/>
    <w:link w:val="Heading5"/>
    <w:rsid w:val="00CD2D8A"/>
    <w:rPr>
      <w:rFonts w:ascii="Arial Narrow" w:hAnsi="Arial Narrow"/>
      <w:b/>
      <w:sz w:val="24"/>
      <w:szCs w:val="22"/>
    </w:rPr>
  </w:style>
  <w:style w:type="character" w:customStyle="1" w:styleId="Heading6Char">
    <w:name w:val="Heading 6 Char"/>
    <w:link w:val="Heading6"/>
    <w:rsid w:val="00CD2D8A"/>
    <w:rPr>
      <w:rFonts w:ascii="Arial Narrow" w:hAnsi="Arial Narrow"/>
      <w:b/>
      <w:sz w:val="22"/>
      <w:szCs w:val="22"/>
    </w:rPr>
  </w:style>
  <w:style w:type="character" w:customStyle="1" w:styleId="Heading7Char">
    <w:name w:val="Heading 7 Char"/>
    <w:link w:val="Heading7"/>
    <w:rsid w:val="00CD2D8A"/>
    <w:rPr>
      <w:rFonts w:ascii="Arial Narrow" w:hAnsi="Arial Narrow"/>
      <w:b/>
      <w:i/>
      <w:sz w:val="22"/>
      <w:szCs w:val="22"/>
    </w:rPr>
  </w:style>
  <w:style w:type="character" w:customStyle="1" w:styleId="Heading8Char">
    <w:name w:val="Heading 8 Char"/>
    <w:link w:val="Heading8"/>
    <w:rsid w:val="00CD2D8A"/>
    <w:rPr>
      <w:rFonts w:ascii="Arial Narrow" w:hAnsi="Arial Narrow"/>
      <w:b/>
      <w:sz w:val="16"/>
      <w:szCs w:val="16"/>
    </w:rPr>
  </w:style>
  <w:style w:type="character" w:customStyle="1" w:styleId="Heading9Char">
    <w:name w:val="Heading 9 Char"/>
    <w:link w:val="Heading9"/>
    <w:rsid w:val="00CD2D8A"/>
    <w:rPr>
      <w:rFonts w:ascii="Arial Narrow" w:hAnsi="Arial Narrow"/>
      <w:b/>
      <w:color w:val="000080"/>
      <w:sz w:val="24"/>
      <w:szCs w:val="22"/>
    </w:rPr>
  </w:style>
  <w:style w:type="character" w:customStyle="1" w:styleId="HeaderChar">
    <w:name w:val="Header Char"/>
    <w:link w:val="Header"/>
    <w:rsid w:val="00CD2D8A"/>
    <w:rPr>
      <w:sz w:val="24"/>
      <w:szCs w:val="24"/>
    </w:rPr>
  </w:style>
  <w:style w:type="character" w:customStyle="1" w:styleId="FooterChar">
    <w:name w:val="Footer Char"/>
    <w:link w:val="Footer"/>
    <w:rsid w:val="00CD2D8A"/>
    <w:rPr>
      <w:sz w:val="24"/>
      <w:szCs w:val="24"/>
    </w:rPr>
  </w:style>
  <w:style w:type="character" w:customStyle="1" w:styleId="BalloonTextChar">
    <w:name w:val="Balloon Text Char"/>
    <w:link w:val="BalloonText"/>
    <w:semiHidden/>
    <w:rsid w:val="00CD2D8A"/>
    <w:rPr>
      <w:rFonts w:ascii="Tahoma" w:hAnsi="Tahoma" w:cs="Tahoma"/>
      <w:sz w:val="16"/>
      <w:szCs w:val="16"/>
    </w:rPr>
  </w:style>
  <w:style w:type="character" w:customStyle="1" w:styleId="BodyTextIndentChar">
    <w:name w:val="Body Text Indent Char"/>
    <w:link w:val="BodyTextIndent"/>
    <w:rsid w:val="00CD2D8A"/>
    <w:rPr>
      <w:sz w:val="22"/>
      <w:szCs w:val="22"/>
    </w:rPr>
  </w:style>
  <w:style w:type="character" w:customStyle="1" w:styleId="BodyTextChar">
    <w:name w:val="Body Text Char"/>
    <w:link w:val="BodyText"/>
    <w:rsid w:val="00CD2D8A"/>
    <w:rPr>
      <w:sz w:val="22"/>
      <w:szCs w:val="22"/>
    </w:rPr>
  </w:style>
  <w:style w:type="character" w:customStyle="1" w:styleId="BodyTextIndent2Char">
    <w:name w:val="Body Text Indent 2 Char"/>
    <w:link w:val="BodyTextIndent2"/>
    <w:rsid w:val="00CD2D8A"/>
    <w:rPr>
      <w:sz w:val="22"/>
      <w:szCs w:val="22"/>
    </w:rPr>
  </w:style>
  <w:style w:type="character" w:customStyle="1" w:styleId="PlainTextChar">
    <w:name w:val="Plain Text Char"/>
    <w:link w:val="PlainText"/>
    <w:rsid w:val="00CD2D8A"/>
    <w:rPr>
      <w:rFonts w:ascii="Courier New" w:hAnsi="Courier New"/>
    </w:rPr>
  </w:style>
  <w:style w:type="character" w:customStyle="1" w:styleId="BodyText2Char">
    <w:name w:val="Body Text 2 Char"/>
    <w:link w:val="BodyText2"/>
    <w:rsid w:val="00CD2D8A"/>
    <w:rPr>
      <w:sz w:val="24"/>
      <w:szCs w:val="24"/>
    </w:rPr>
  </w:style>
  <w:style w:type="character" w:customStyle="1" w:styleId="CommentTextChar">
    <w:name w:val="Comment Text Char"/>
    <w:basedOn w:val="DefaultParagraphFont"/>
    <w:link w:val="CommentText"/>
    <w:semiHidden/>
    <w:rsid w:val="00CD2D8A"/>
  </w:style>
  <w:style w:type="character" w:customStyle="1" w:styleId="CommentSubjectChar">
    <w:name w:val="Comment Subject Char"/>
    <w:link w:val="CommentSubject"/>
    <w:semiHidden/>
    <w:rsid w:val="00CD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oleObject" Target="embeddings/Microsoft_Excel_97-2003_Worksheet.xls"/><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PROSX2006.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B75B-DEA4-46E6-9DD9-9B91AF2C2A20}">
  <ds:schemaRefs>
    <ds:schemaRef ds:uri="http://schemas.openxmlformats.org/officeDocument/2006/bibliography"/>
  </ds:schemaRefs>
</ds:datastoreItem>
</file>

<file path=customXml/itemProps2.xml><?xml version="1.0" encoding="utf-8"?>
<ds:datastoreItem xmlns:ds="http://schemas.openxmlformats.org/officeDocument/2006/customXml" ds:itemID="{BE855603-89BF-452D-91D8-B983F650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PROSX2006.dot</Template>
  <TotalTime>1</TotalTime>
  <Pages>61</Pages>
  <Words>24329</Words>
  <Characters>131382</Characters>
  <Application>Microsoft Office Word</Application>
  <DocSecurity>0</DocSecurity>
  <Lines>1094</Lines>
  <Paragraphs>310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ΟΙΚΟΝΟΜΙΚΕΣ ΕΞΕΛΙΞΕΙΣ</vt:lpstr>
      <vt:lpstr>ΟΙΚΟΝΟΜΙΚΕΣ ΕΞΕΛΙΞΕΙΣ</vt:lpstr>
    </vt:vector>
  </TitlesOfParts>
  <Company>Microsoft</Company>
  <LinksUpToDate>false</LinksUpToDate>
  <CharactersWithSpaces>155401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ΟΙΚΟΝΟΜΙΚΕΣ ΕΞΕΛΙΞΕΙΣ</dc:title>
  <dc:creator>pxristof</dc:creator>
  <cp:lastModifiedBy>guswork guskoulwork</cp:lastModifiedBy>
  <cp:revision>2</cp:revision>
  <cp:lastPrinted>2020-10-04T15:17:00Z</cp:lastPrinted>
  <dcterms:created xsi:type="dcterms:W3CDTF">2020-10-05T09:18:00Z</dcterms:created>
  <dcterms:modified xsi:type="dcterms:W3CDTF">2020-10-05T09:18:00Z</dcterms:modified>
</cp:coreProperties>
</file>